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A7D8" w14:textId="77777777" w:rsidR="00146A7E" w:rsidRPr="00713CC2" w:rsidRDefault="005875AD">
      <w:pPr>
        <w:rPr>
          <w:rFonts w:ascii="Calibri" w:eastAsia="Calibri" w:hAnsi="Calibri" w:cs="Calibri"/>
          <w:b/>
          <w:sz w:val="20"/>
          <w:szCs w:val="20"/>
          <w:u w:val="single"/>
        </w:rPr>
      </w:pPr>
      <w:r w:rsidRPr="00713CC2">
        <w:rPr>
          <w:rFonts w:ascii="Calibri" w:eastAsia="Calibri" w:hAnsi="Calibri" w:cs="Calibri"/>
          <w:b/>
          <w:sz w:val="20"/>
          <w:szCs w:val="20"/>
          <w:u w:val="single"/>
        </w:rPr>
        <w:t>Type 1 Diabetes in Children</w:t>
      </w:r>
    </w:p>
    <w:p w14:paraId="0AF6EBEE" w14:textId="77777777" w:rsidR="00146A7E" w:rsidRPr="00713CC2" w:rsidRDefault="005875AD">
      <w:pPr>
        <w:rPr>
          <w:rFonts w:ascii="Calibri" w:eastAsia="Calibri" w:hAnsi="Calibri" w:cs="Calibri"/>
          <w:b/>
          <w:sz w:val="20"/>
          <w:szCs w:val="20"/>
        </w:rPr>
      </w:pPr>
      <w:r w:rsidRPr="00713CC2">
        <w:rPr>
          <w:rFonts w:ascii="Calibri" w:eastAsia="Calibri" w:hAnsi="Calibri" w:cs="Calibri"/>
          <w:b/>
          <w:sz w:val="20"/>
          <w:szCs w:val="20"/>
        </w:rPr>
        <w:t>Epidemiology</w:t>
      </w:r>
    </w:p>
    <w:p w14:paraId="3DC5C781" w14:textId="77777777" w:rsidR="00146A7E" w:rsidRPr="00713CC2" w:rsidRDefault="005875AD">
      <w:pPr>
        <w:rPr>
          <w:rFonts w:ascii="Calibri" w:eastAsia="Calibri" w:hAnsi="Calibri" w:cs="Calibri"/>
          <w:sz w:val="20"/>
          <w:szCs w:val="20"/>
          <w:highlight w:val="white"/>
        </w:rPr>
      </w:pPr>
      <w:r w:rsidRPr="00713CC2">
        <w:rPr>
          <w:rFonts w:ascii="Calibri" w:eastAsia="Calibri" w:hAnsi="Calibri" w:cs="Calibri"/>
          <w:sz w:val="20"/>
          <w:szCs w:val="20"/>
          <w:highlight w:val="white"/>
        </w:rPr>
        <w:t>Age: Bimodal distribution, one peak at 4-6 years four of age and a second in 10 to 14 years of age with more predisposition in non-Hispanic whites.</w:t>
      </w:r>
    </w:p>
    <w:p w14:paraId="6783629F" w14:textId="77777777" w:rsidR="00146A7E" w:rsidRPr="00713CC2" w:rsidRDefault="00146A7E">
      <w:pPr>
        <w:rPr>
          <w:rFonts w:ascii="Calibri" w:eastAsia="Calibri" w:hAnsi="Calibri" w:cs="Calibri"/>
          <w:sz w:val="20"/>
          <w:szCs w:val="20"/>
          <w:highlight w:val="white"/>
        </w:rPr>
      </w:pPr>
    </w:p>
    <w:p w14:paraId="366B67E5" w14:textId="77777777" w:rsidR="00146A7E" w:rsidRPr="00713CC2" w:rsidRDefault="005875AD">
      <w:pPr>
        <w:rPr>
          <w:rFonts w:ascii="Calibri" w:eastAsia="Calibri" w:hAnsi="Calibri" w:cs="Calibri"/>
          <w:b/>
          <w:sz w:val="20"/>
          <w:szCs w:val="20"/>
          <w:highlight w:val="white"/>
        </w:rPr>
      </w:pPr>
      <w:r w:rsidRPr="00713CC2">
        <w:rPr>
          <w:rFonts w:ascii="Calibri" w:eastAsia="Calibri" w:hAnsi="Calibri" w:cs="Calibri"/>
          <w:b/>
          <w:sz w:val="20"/>
          <w:szCs w:val="20"/>
          <w:highlight w:val="white"/>
        </w:rPr>
        <w:t>Pathophysiology</w:t>
      </w:r>
    </w:p>
    <w:p w14:paraId="517D98E1" w14:textId="77777777" w:rsidR="00146A7E" w:rsidRPr="00713CC2" w:rsidRDefault="005875AD">
      <w:pPr>
        <w:rPr>
          <w:rFonts w:ascii="Calibri" w:eastAsia="Calibri" w:hAnsi="Calibri" w:cs="Calibri"/>
          <w:sz w:val="20"/>
          <w:szCs w:val="20"/>
          <w:highlight w:val="white"/>
        </w:rPr>
      </w:pPr>
      <w:r w:rsidRPr="00713CC2">
        <w:rPr>
          <w:rFonts w:ascii="Calibri" w:eastAsia="Calibri" w:hAnsi="Calibri" w:cs="Calibri"/>
          <w:sz w:val="20"/>
          <w:szCs w:val="20"/>
          <w:highlight w:val="white"/>
        </w:rPr>
        <w:t>T1DM is characterized primarily by insulin deficiency, from autoimmune destruction of pancreatic beta cells and is referred to as type 1A diabetes</w:t>
      </w:r>
      <w:r w:rsidR="00B122B6" w:rsidRPr="00713CC2">
        <w:rPr>
          <w:rFonts w:ascii="Calibri" w:eastAsia="Calibri" w:hAnsi="Calibri" w:cs="Calibri"/>
          <w:sz w:val="20"/>
          <w:szCs w:val="20"/>
          <w:highlight w:val="white"/>
        </w:rPr>
        <w:t>. Seen</w:t>
      </w:r>
      <w:r w:rsidRPr="00713CC2">
        <w:rPr>
          <w:rFonts w:ascii="Calibri" w:eastAsia="Calibri" w:hAnsi="Calibri" w:cs="Calibri"/>
          <w:sz w:val="20"/>
          <w:szCs w:val="20"/>
          <w:highlight w:val="white"/>
        </w:rPr>
        <w:t xml:space="preserve"> in approximately 85 percent of cases. </w:t>
      </w:r>
    </w:p>
    <w:p w14:paraId="5A5EBDAA" w14:textId="77777777" w:rsidR="00146A7E" w:rsidRPr="00713CC2" w:rsidRDefault="005875AD">
      <w:pPr>
        <w:rPr>
          <w:rFonts w:ascii="Calibri" w:eastAsia="Calibri" w:hAnsi="Calibri" w:cs="Calibri"/>
          <w:sz w:val="20"/>
          <w:szCs w:val="20"/>
          <w:highlight w:val="white"/>
        </w:rPr>
      </w:pPr>
      <w:r w:rsidRPr="00713CC2">
        <w:rPr>
          <w:rFonts w:ascii="Calibri" w:eastAsia="Calibri" w:hAnsi="Calibri" w:cs="Calibri"/>
          <w:sz w:val="20"/>
          <w:szCs w:val="20"/>
          <w:highlight w:val="white"/>
        </w:rPr>
        <w:t>Patients with clinical features of T1DM but without detectable autoant</w:t>
      </w:r>
      <w:r w:rsidR="00B122B6" w:rsidRPr="00713CC2">
        <w:rPr>
          <w:rFonts w:ascii="Calibri" w:eastAsia="Calibri" w:hAnsi="Calibri" w:cs="Calibri"/>
          <w:sz w:val="20"/>
          <w:szCs w:val="20"/>
          <w:highlight w:val="white"/>
        </w:rPr>
        <w:t>ibodies</w:t>
      </w:r>
      <w:r w:rsidRPr="00713CC2">
        <w:rPr>
          <w:rFonts w:ascii="Calibri" w:eastAsia="Calibri" w:hAnsi="Calibri" w:cs="Calibri"/>
          <w:sz w:val="20"/>
          <w:szCs w:val="20"/>
          <w:highlight w:val="white"/>
        </w:rPr>
        <w:t xml:space="preserve"> are categorized as having type 1B diabe</w:t>
      </w:r>
      <w:r w:rsidR="00B122B6" w:rsidRPr="00713CC2">
        <w:rPr>
          <w:rFonts w:ascii="Calibri" w:eastAsia="Calibri" w:hAnsi="Calibri" w:cs="Calibri"/>
          <w:sz w:val="20"/>
          <w:szCs w:val="20"/>
          <w:highlight w:val="white"/>
        </w:rPr>
        <w:t>tes (approximately 15 percent).</w:t>
      </w:r>
    </w:p>
    <w:p w14:paraId="7F9EF8FF" w14:textId="77777777" w:rsidR="00B122B6" w:rsidRPr="00713CC2" w:rsidRDefault="00B122B6">
      <w:pPr>
        <w:rPr>
          <w:rFonts w:ascii="Calibri" w:eastAsia="Calibri" w:hAnsi="Calibri" w:cs="Calibri"/>
          <w:sz w:val="20"/>
          <w:szCs w:val="20"/>
          <w:highlight w:val="white"/>
        </w:rPr>
      </w:pPr>
    </w:p>
    <w:p w14:paraId="10C35177" w14:textId="77777777" w:rsidR="00146A7E" w:rsidRPr="00713CC2" w:rsidRDefault="005875AD">
      <w:pPr>
        <w:rPr>
          <w:rFonts w:ascii="Calibri" w:eastAsia="Calibri" w:hAnsi="Calibri" w:cs="Calibri"/>
          <w:b/>
          <w:sz w:val="20"/>
          <w:szCs w:val="20"/>
          <w:highlight w:val="white"/>
        </w:rPr>
      </w:pPr>
      <w:r w:rsidRPr="00713CC2">
        <w:rPr>
          <w:rFonts w:ascii="Calibri" w:eastAsia="Calibri" w:hAnsi="Calibri" w:cs="Calibri"/>
          <w:b/>
          <w:sz w:val="20"/>
          <w:szCs w:val="20"/>
          <w:highlight w:val="white"/>
        </w:rPr>
        <w:t>Genetic susceptibility</w:t>
      </w:r>
    </w:p>
    <w:p w14:paraId="3018FB67" w14:textId="77777777" w:rsidR="005875AD" w:rsidRPr="00713CC2" w:rsidRDefault="005875AD" w:rsidP="005875AD">
      <w:pPr>
        <w:rPr>
          <w:rFonts w:ascii="Calibri" w:eastAsia="Calibri" w:hAnsi="Calibri" w:cs="Calibri"/>
          <w:sz w:val="20"/>
          <w:szCs w:val="20"/>
          <w:highlight w:val="white"/>
        </w:rPr>
      </w:pPr>
      <w:r w:rsidRPr="00713CC2">
        <w:rPr>
          <w:rFonts w:ascii="Calibri" w:eastAsia="Calibri" w:hAnsi="Calibri" w:cs="Calibri"/>
          <w:sz w:val="20"/>
          <w:szCs w:val="20"/>
          <w:highlight w:val="white"/>
        </w:rPr>
        <w:t>Monozygotic twins&gt;Offspring with both parents affected &gt;Dizygotic twin&gt;Offspring of an affected father &gt;Non-twin sibling of affected patient &gt;Offspring of an affected mother</w:t>
      </w:r>
      <w:r w:rsidR="00B122B6" w:rsidRPr="00713CC2">
        <w:rPr>
          <w:rFonts w:ascii="Calibri" w:eastAsia="Calibri" w:hAnsi="Calibri" w:cs="Calibri"/>
          <w:sz w:val="20"/>
          <w:szCs w:val="20"/>
          <w:highlight w:val="white"/>
        </w:rPr>
        <w:t>.</w:t>
      </w:r>
    </w:p>
    <w:p w14:paraId="49716899" w14:textId="77777777" w:rsidR="00146A7E" w:rsidRPr="00713CC2" w:rsidRDefault="005875AD" w:rsidP="005875AD">
      <w:pPr>
        <w:rPr>
          <w:rFonts w:ascii="Calibri" w:eastAsia="Calibri" w:hAnsi="Calibri" w:cs="Calibri"/>
          <w:sz w:val="20"/>
          <w:szCs w:val="20"/>
          <w:highlight w:val="white"/>
        </w:rPr>
      </w:pPr>
      <w:r w:rsidRPr="00713CC2">
        <w:rPr>
          <w:rFonts w:ascii="Calibri" w:eastAsia="Calibri" w:hAnsi="Calibri" w:cs="Calibri"/>
          <w:sz w:val="20"/>
          <w:szCs w:val="20"/>
          <w:highlight w:val="white"/>
        </w:rPr>
        <w:br/>
      </w:r>
      <w:r w:rsidRPr="00713CC2">
        <w:rPr>
          <w:rFonts w:ascii="Calibri" w:eastAsia="Calibri" w:hAnsi="Calibri" w:cs="Calibri"/>
          <w:b/>
          <w:sz w:val="20"/>
          <w:szCs w:val="20"/>
          <w:highlight w:val="white"/>
        </w:rPr>
        <w:t>Definitions: Any one of the following 4 criteria can be used (ADA)</w:t>
      </w:r>
    </w:p>
    <w:p w14:paraId="1EC688AE" w14:textId="77777777" w:rsidR="00146A7E" w:rsidRPr="00713CC2" w:rsidRDefault="005875AD" w:rsidP="00B122B6">
      <w:pPr>
        <w:pStyle w:val="ListParagraph"/>
        <w:numPr>
          <w:ilvl w:val="0"/>
          <w:numId w:val="3"/>
        </w:numPr>
        <w:shd w:val="clear" w:color="auto" w:fill="FFFFFF"/>
        <w:spacing w:before="200" w:after="200" w:line="261" w:lineRule="auto"/>
        <w:rPr>
          <w:rFonts w:ascii="Calibri" w:eastAsia="Calibri" w:hAnsi="Calibri" w:cs="Calibri"/>
          <w:sz w:val="20"/>
          <w:szCs w:val="20"/>
          <w:highlight w:val="white"/>
        </w:rPr>
      </w:pPr>
      <w:r w:rsidRPr="00713CC2">
        <w:rPr>
          <w:rFonts w:ascii="Calibri" w:eastAsia="Calibri" w:hAnsi="Calibri" w:cs="Calibri"/>
          <w:sz w:val="20"/>
          <w:szCs w:val="20"/>
          <w:highlight w:val="white"/>
        </w:rPr>
        <w:t xml:space="preserve">Fasting plasma glucose </w:t>
      </w:r>
      <w:r w:rsidRPr="00713CC2">
        <w:rPr>
          <w:rFonts w:ascii="Calibri" w:eastAsia="Calibri" w:hAnsi="Calibri" w:cs="Calibri"/>
          <w:b/>
          <w:sz w:val="20"/>
          <w:szCs w:val="20"/>
          <w:highlight w:val="white"/>
        </w:rPr>
        <w:t>≥126 mg/dL</w:t>
      </w:r>
      <w:r w:rsidRPr="00713CC2">
        <w:rPr>
          <w:rFonts w:ascii="Calibri" w:eastAsia="Calibri" w:hAnsi="Calibri" w:cs="Calibri"/>
          <w:sz w:val="20"/>
          <w:szCs w:val="20"/>
          <w:highlight w:val="white"/>
        </w:rPr>
        <w:t>.</w:t>
      </w:r>
    </w:p>
    <w:p w14:paraId="41763F8C" w14:textId="77777777" w:rsidR="00146A7E" w:rsidRPr="00713CC2" w:rsidRDefault="005875AD" w:rsidP="00B122B6">
      <w:pPr>
        <w:pStyle w:val="ListParagraph"/>
        <w:numPr>
          <w:ilvl w:val="0"/>
          <w:numId w:val="3"/>
        </w:numPr>
        <w:shd w:val="clear" w:color="auto" w:fill="FFFFFF"/>
        <w:spacing w:before="200" w:after="120" w:line="261" w:lineRule="auto"/>
        <w:rPr>
          <w:rFonts w:ascii="Calibri" w:eastAsia="Calibri" w:hAnsi="Calibri" w:cs="Calibri"/>
          <w:sz w:val="20"/>
          <w:szCs w:val="20"/>
          <w:highlight w:val="white"/>
        </w:rPr>
      </w:pPr>
      <w:r w:rsidRPr="00713CC2">
        <w:rPr>
          <w:rFonts w:ascii="Calibri" w:eastAsia="Calibri" w:hAnsi="Calibri" w:cs="Calibri"/>
          <w:sz w:val="20"/>
          <w:szCs w:val="20"/>
          <w:highlight w:val="white"/>
        </w:rPr>
        <w:t>Random venous plasma glucose ≥200 mg/dL in a patient with classic symptoms of hyperglycemi</w:t>
      </w:r>
      <w:r w:rsidR="00B122B6" w:rsidRPr="00713CC2">
        <w:rPr>
          <w:rFonts w:ascii="Calibri" w:eastAsia="Calibri" w:hAnsi="Calibri" w:cs="Calibri"/>
          <w:sz w:val="20"/>
          <w:szCs w:val="20"/>
          <w:highlight w:val="white"/>
        </w:rPr>
        <w:t>a (</w:t>
      </w:r>
      <w:proofErr w:type="spellStart"/>
      <w:r w:rsidR="00B122B6" w:rsidRPr="00713CC2">
        <w:rPr>
          <w:rFonts w:ascii="Calibri" w:eastAsia="Calibri" w:hAnsi="Calibri" w:cs="Calibri"/>
          <w:sz w:val="20"/>
          <w:szCs w:val="20"/>
          <w:highlight w:val="white"/>
        </w:rPr>
        <w:t>i.e</w:t>
      </w:r>
      <w:proofErr w:type="spellEnd"/>
      <w:r w:rsidR="00B122B6" w:rsidRPr="00713CC2">
        <w:rPr>
          <w:rFonts w:ascii="Calibri" w:eastAsia="Calibri" w:hAnsi="Calibri" w:cs="Calibri"/>
          <w:sz w:val="20"/>
          <w:szCs w:val="20"/>
          <w:highlight w:val="white"/>
        </w:rPr>
        <w:t xml:space="preserve"> polyuria and polydipsia).</w:t>
      </w:r>
    </w:p>
    <w:p w14:paraId="7070AA82" w14:textId="77777777" w:rsidR="00146A7E" w:rsidRPr="00713CC2" w:rsidRDefault="005875AD" w:rsidP="00B122B6">
      <w:pPr>
        <w:pStyle w:val="ListParagraph"/>
        <w:numPr>
          <w:ilvl w:val="0"/>
          <w:numId w:val="3"/>
        </w:numPr>
        <w:shd w:val="clear" w:color="auto" w:fill="FFFFFF"/>
        <w:spacing w:before="200" w:after="200" w:line="261" w:lineRule="auto"/>
        <w:rPr>
          <w:rFonts w:ascii="Calibri" w:eastAsia="Calibri" w:hAnsi="Calibri" w:cs="Calibri"/>
          <w:sz w:val="20"/>
          <w:szCs w:val="20"/>
          <w:highlight w:val="white"/>
        </w:rPr>
      </w:pPr>
      <w:r w:rsidRPr="00713CC2">
        <w:rPr>
          <w:rFonts w:ascii="Calibri" w:eastAsia="Calibri" w:hAnsi="Calibri" w:cs="Calibri"/>
          <w:sz w:val="20"/>
          <w:szCs w:val="20"/>
          <w:highlight w:val="white"/>
        </w:rPr>
        <w:t xml:space="preserve">Plasma glucose </w:t>
      </w:r>
      <w:r w:rsidRPr="00713CC2">
        <w:rPr>
          <w:rFonts w:ascii="Calibri" w:eastAsia="Calibri" w:hAnsi="Calibri" w:cs="Calibri"/>
          <w:b/>
          <w:sz w:val="20"/>
          <w:szCs w:val="20"/>
          <w:highlight w:val="white"/>
        </w:rPr>
        <w:t>≥200 mg/dL</w:t>
      </w:r>
      <w:r w:rsidRPr="00713CC2">
        <w:rPr>
          <w:rFonts w:ascii="Calibri" w:eastAsia="Calibri" w:hAnsi="Calibri" w:cs="Calibri"/>
          <w:sz w:val="20"/>
          <w:szCs w:val="20"/>
          <w:highlight w:val="white"/>
        </w:rPr>
        <w:t xml:space="preserve"> measured two hours after a glucose load of 1.75 g/kg (max-75 g) in an oral glucose tolerance test.</w:t>
      </w:r>
    </w:p>
    <w:p w14:paraId="2D4A3676" w14:textId="77777777" w:rsidR="00146A7E" w:rsidRPr="00713CC2" w:rsidRDefault="005875AD" w:rsidP="00B122B6">
      <w:pPr>
        <w:pStyle w:val="ListParagraph"/>
        <w:numPr>
          <w:ilvl w:val="0"/>
          <w:numId w:val="3"/>
        </w:numPr>
        <w:shd w:val="clear" w:color="auto" w:fill="FFFFFF"/>
        <w:spacing w:before="200" w:after="200" w:line="261" w:lineRule="auto"/>
        <w:rPr>
          <w:rFonts w:ascii="Calibri" w:eastAsia="Calibri" w:hAnsi="Calibri" w:cs="Calibri"/>
          <w:sz w:val="20"/>
          <w:szCs w:val="20"/>
          <w:highlight w:val="white"/>
        </w:rPr>
      </w:pPr>
      <w:r w:rsidRPr="00713CC2">
        <w:rPr>
          <w:rFonts w:ascii="Calibri" w:eastAsia="Calibri" w:hAnsi="Calibri" w:cs="Calibri"/>
          <w:sz w:val="20"/>
          <w:szCs w:val="20"/>
          <w:highlight w:val="white"/>
        </w:rPr>
        <w:t xml:space="preserve">Hemoglobin A1c </w:t>
      </w:r>
      <w:r w:rsidRPr="00713CC2">
        <w:rPr>
          <w:rFonts w:ascii="Calibri" w:eastAsia="Calibri" w:hAnsi="Calibri" w:cs="Calibri"/>
          <w:b/>
          <w:sz w:val="20"/>
          <w:szCs w:val="20"/>
          <w:highlight w:val="white"/>
        </w:rPr>
        <w:t>&gt;6.5%</w:t>
      </w:r>
      <w:r w:rsidRPr="00713CC2">
        <w:rPr>
          <w:rFonts w:ascii="Calibri" w:eastAsia="Calibri" w:hAnsi="Calibri" w:cs="Calibri"/>
          <w:sz w:val="20"/>
          <w:szCs w:val="20"/>
          <w:highlight w:val="white"/>
        </w:rPr>
        <w:t xml:space="preserve"> on two separate occasions.</w:t>
      </w:r>
    </w:p>
    <w:p w14:paraId="131822D0" w14:textId="77777777" w:rsidR="00146A7E" w:rsidRPr="00713CC2" w:rsidRDefault="005875AD">
      <w:pPr>
        <w:shd w:val="clear" w:color="auto" w:fill="FFFFFF"/>
        <w:spacing w:before="200" w:after="120" w:line="329" w:lineRule="auto"/>
        <w:rPr>
          <w:rFonts w:ascii="Calibri" w:eastAsia="Calibri" w:hAnsi="Calibri" w:cs="Calibri"/>
          <w:sz w:val="20"/>
          <w:szCs w:val="20"/>
          <w:highlight w:val="white"/>
        </w:rPr>
      </w:pPr>
      <w:r w:rsidRPr="00713CC2">
        <w:rPr>
          <w:rFonts w:ascii="Calibri" w:eastAsia="Calibri" w:hAnsi="Calibri" w:cs="Calibri"/>
          <w:b/>
          <w:sz w:val="20"/>
          <w:szCs w:val="20"/>
          <w:highlight w:val="white"/>
        </w:rPr>
        <w:t xml:space="preserve">Symptoms: </w:t>
      </w:r>
      <w:r w:rsidRPr="00713CC2">
        <w:rPr>
          <w:rFonts w:ascii="Calibri" w:eastAsia="Calibri" w:hAnsi="Calibri" w:cs="Calibri"/>
          <w:sz w:val="20"/>
          <w:szCs w:val="20"/>
          <w:highlight w:val="white"/>
        </w:rPr>
        <w:t>Polyuria, nocturia, enuresis, increased thirst, increased appetite, weight loss, fatigue, Vomiting, rapid/deep breathing, abdominal pain may suggest DKA</w:t>
      </w:r>
      <w:r w:rsidR="00B122B6" w:rsidRPr="00713CC2">
        <w:rPr>
          <w:rFonts w:ascii="Calibri" w:eastAsia="Calibri" w:hAnsi="Calibri" w:cs="Calibri"/>
          <w:sz w:val="20"/>
          <w:szCs w:val="20"/>
          <w:highlight w:val="white"/>
        </w:rPr>
        <w:t>.</w:t>
      </w:r>
    </w:p>
    <w:p w14:paraId="1FFC4627" w14:textId="77777777" w:rsidR="00146A7E" w:rsidRPr="00713CC2" w:rsidRDefault="005875AD">
      <w:pPr>
        <w:shd w:val="clear" w:color="auto" w:fill="FFFFFF"/>
        <w:spacing w:before="200" w:after="200" w:line="329" w:lineRule="auto"/>
        <w:rPr>
          <w:rFonts w:ascii="Calibri" w:eastAsia="Calibri" w:hAnsi="Calibri" w:cs="Calibri"/>
          <w:b/>
          <w:sz w:val="20"/>
          <w:szCs w:val="20"/>
          <w:highlight w:val="white"/>
        </w:rPr>
      </w:pPr>
      <w:r w:rsidRPr="00713CC2">
        <w:rPr>
          <w:rFonts w:ascii="Calibri" w:eastAsia="Calibri" w:hAnsi="Calibri" w:cs="Calibri"/>
          <w:b/>
          <w:sz w:val="20"/>
          <w:szCs w:val="20"/>
          <w:highlight w:val="white"/>
        </w:rPr>
        <w:t>Age based presentation</w:t>
      </w:r>
    </w:p>
    <w:p w14:paraId="2C1C0FAD" w14:textId="77777777" w:rsidR="00B122B6" w:rsidRPr="00713CC2" w:rsidRDefault="005875AD" w:rsidP="00B122B6">
      <w:pPr>
        <w:pStyle w:val="ListParagraph"/>
        <w:numPr>
          <w:ilvl w:val="0"/>
          <w:numId w:val="5"/>
        </w:numPr>
        <w:shd w:val="clear" w:color="auto" w:fill="FFFFFF"/>
        <w:spacing w:before="200" w:after="200" w:line="240" w:lineRule="auto"/>
        <w:rPr>
          <w:rFonts w:ascii="Calibri" w:eastAsia="Calibri" w:hAnsi="Calibri" w:cs="Calibri"/>
          <w:sz w:val="20"/>
          <w:szCs w:val="20"/>
          <w:highlight w:val="white"/>
        </w:rPr>
      </w:pPr>
      <w:r w:rsidRPr="00713CC2">
        <w:rPr>
          <w:rFonts w:ascii="Calibri" w:eastAsia="Calibri" w:hAnsi="Calibri" w:cs="Calibri"/>
          <w:b/>
          <w:sz w:val="20"/>
          <w:szCs w:val="20"/>
          <w:highlight w:val="white"/>
        </w:rPr>
        <w:t>Infants</w:t>
      </w:r>
      <w:r w:rsidRPr="00713CC2">
        <w:rPr>
          <w:rFonts w:ascii="Calibri" w:eastAsia="Calibri" w:hAnsi="Calibri" w:cs="Calibri"/>
          <w:sz w:val="20"/>
          <w:szCs w:val="20"/>
          <w:highlight w:val="white"/>
        </w:rPr>
        <w:t xml:space="preserve"> — History or presence of prolonged or recurrent candida infection in the diaper area. </w:t>
      </w:r>
    </w:p>
    <w:p w14:paraId="4B921A97" w14:textId="77777777" w:rsidR="00146A7E" w:rsidRPr="00713CC2" w:rsidRDefault="005875AD" w:rsidP="00B122B6">
      <w:pPr>
        <w:pStyle w:val="ListParagraph"/>
        <w:numPr>
          <w:ilvl w:val="0"/>
          <w:numId w:val="5"/>
        </w:numPr>
        <w:shd w:val="clear" w:color="auto" w:fill="FFFFFF"/>
        <w:spacing w:before="200" w:after="200" w:line="240" w:lineRule="auto"/>
        <w:rPr>
          <w:rFonts w:ascii="Calibri" w:eastAsia="Calibri" w:hAnsi="Calibri" w:cs="Calibri"/>
          <w:sz w:val="20"/>
          <w:szCs w:val="20"/>
          <w:highlight w:val="white"/>
        </w:rPr>
      </w:pPr>
      <w:r w:rsidRPr="00713CC2">
        <w:rPr>
          <w:rFonts w:ascii="Calibri" w:eastAsia="Calibri" w:hAnsi="Calibri" w:cs="Calibri"/>
          <w:b/>
          <w:sz w:val="20"/>
          <w:szCs w:val="20"/>
          <w:highlight w:val="white"/>
        </w:rPr>
        <w:t>Young children</w:t>
      </w:r>
      <w:r w:rsidRPr="00713CC2">
        <w:rPr>
          <w:rFonts w:ascii="Calibri" w:eastAsia="Calibri" w:hAnsi="Calibri" w:cs="Calibri"/>
          <w:sz w:val="20"/>
          <w:szCs w:val="20"/>
          <w:highlight w:val="white"/>
        </w:rPr>
        <w:t xml:space="preserve"> — Younger children are</w:t>
      </w:r>
      <w:r w:rsidR="00B122B6" w:rsidRPr="00713CC2">
        <w:rPr>
          <w:rFonts w:ascii="Calibri" w:eastAsia="Calibri" w:hAnsi="Calibri" w:cs="Calibri"/>
          <w:sz w:val="20"/>
          <w:szCs w:val="20"/>
          <w:highlight w:val="white"/>
        </w:rPr>
        <w:t xml:space="preserve"> more vulnerable to dehydration.  DKA i</w:t>
      </w:r>
      <w:r w:rsidRPr="00713CC2">
        <w:rPr>
          <w:rFonts w:ascii="Calibri" w:eastAsia="Calibri" w:hAnsi="Calibri" w:cs="Calibri"/>
          <w:sz w:val="20"/>
          <w:szCs w:val="20"/>
          <w:highlight w:val="white"/>
        </w:rPr>
        <w:t xml:space="preserve">s a more common presentation in children &lt;6 years of age. </w:t>
      </w:r>
    </w:p>
    <w:p w14:paraId="3F12FC48" w14:textId="77777777" w:rsidR="00146A7E" w:rsidRPr="00713CC2" w:rsidRDefault="005875AD">
      <w:pPr>
        <w:shd w:val="clear" w:color="auto" w:fill="FFFFFF"/>
        <w:spacing w:before="200" w:after="200" w:line="329" w:lineRule="auto"/>
        <w:rPr>
          <w:rFonts w:ascii="Calibri" w:eastAsia="Calibri" w:hAnsi="Calibri" w:cs="Calibri"/>
          <w:sz w:val="20"/>
          <w:szCs w:val="20"/>
          <w:highlight w:val="white"/>
        </w:rPr>
      </w:pPr>
      <w:r w:rsidRPr="00713CC2">
        <w:rPr>
          <w:rFonts w:ascii="Calibri" w:eastAsia="Calibri" w:hAnsi="Calibri" w:cs="Calibri"/>
          <w:b/>
          <w:sz w:val="20"/>
          <w:szCs w:val="20"/>
          <w:highlight w:val="white"/>
        </w:rPr>
        <w:t>Labs</w:t>
      </w:r>
      <w:r w:rsidRPr="00713CC2">
        <w:rPr>
          <w:rFonts w:ascii="Calibri" w:eastAsia="Calibri" w:hAnsi="Calibri" w:cs="Calibri"/>
          <w:sz w:val="20"/>
          <w:szCs w:val="20"/>
          <w:highlight w:val="white"/>
        </w:rPr>
        <w:t>: islet cell antibodies, IA-2 antibodies, insulin antibodies, GAD-65 antibodies, ZnT8 antibodies can be used to confirm the diagnosis in doubtful cases but not required.</w:t>
      </w:r>
    </w:p>
    <w:p w14:paraId="56651F6F" w14:textId="77777777" w:rsidR="00146A7E" w:rsidRPr="00713CC2" w:rsidRDefault="005875AD">
      <w:pPr>
        <w:shd w:val="clear" w:color="auto" w:fill="FFFFFF"/>
        <w:spacing w:before="200" w:after="120" w:line="329" w:lineRule="auto"/>
        <w:rPr>
          <w:rFonts w:ascii="Calibri" w:eastAsia="Calibri" w:hAnsi="Calibri" w:cs="Calibri"/>
          <w:b/>
          <w:sz w:val="20"/>
          <w:szCs w:val="20"/>
          <w:highlight w:val="white"/>
        </w:rPr>
      </w:pPr>
      <w:r w:rsidRPr="00713CC2">
        <w:rPr>
          <w:rFonts w:ascii="Calibri" w:eastAsia="Calibri" w:hAnsi="Calibri" w:cs="Calibri"/>
          <w:b/>
          <w:sz w:val="20"/>
          <w:szCs w:val="20"/>
          <w:highlight w:val="white"/>
        </w:rPr>
        <w:t xml:space="preserve"> Differential diagnosis</w:t>
      </w:r>
    </w:p>
    <w:p w14:paraId="0073D7E5" w14:textId="77777777" w:rsidR="00146A7E" w:rsidRPr="00713CC2" w:rsidRDefault="005875AD" w:rsidP="00B122B6">
      <w:pPr>
        <w:pStyle w:val="ListParagraph"/>
        <w:numPr>
          <w:ilvl w:val="0"/>
          <w:numId w:val="1"/>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Type 2 Diabetes Mellitus.</w:t>
      </w:r>
    </w:p>
    <w:p w14:paraId="772E1540" w14:textId="77777777" w:rsidR="00146A7E" w:rsidRPr="00713CC2" w:rsidRDefault="005875AD" w:rsidP="00B122B6">
      <w:pPr>
        <w:pStyle w:val="ListParagraph"/>
        <w:numPr>
          <w:ilvl w:val="0"/>
          <w:numId w:val="1"/>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Single genes causing DM – clinically heterogeneous disorder diagnosed at a young age with autosomal dominant transmission and lack of pancreatic autoantibodies.</w:t>
      </w:r>
    </w:p>
    <w:p w14:paraId="3DF226C5" w14:textId="77777777" w:rsidR="00146A7E" w:rsidRPr="00713CC2" w:rsidRDefault="005875AD" w:rsidP="00B122B6">
      <w:pPr>
        <w:pStyle w:val="ListParagraph"/>
        <w:numPr>
          <w:ilvl w:val="0"/>
          <w:numId w:val="1"/>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Neonatal diabetes is a rare disorder caused by one of several genetic defects in pancreatic development or beta cell function.</w:t>
      </w:r>
    </w:p>
    <w:p w14:paraId="0DC635F3" w14:textId="77777777" w:rsidR="00146A7E" w:rsidRPr="00713CC2" w:rsidRDefault="005875AD" w:rsidP="00B122B6">
      <w:pPr>
        <w:pStyle w:val="ListParagraph"/>
        <w:numPr>
          <w:ilvl w:val="0"/>
          <w:numId w:val="1"/>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lastRenderedPageBreak/>
        <w:t xml:space="preserve">Diseases of the exocrine system such as Cystic fibrosis, Cushing syndrome, and drug-induced diabetes (glucocorticoids, HIV protease </w:t>
      </w:r>
      <w:r w:rsidR="00B122B6" w:rsidRPr="00713CC2">
        <w:rPr>
          <w:rFonts w:ascii="Calibri" w:eastAsia="Calibri" w:hAnsi="Calibri" w:cs="Calibri"/>
          <w:sz w:val="20"/>
          <w:szCs w:val="20"/>
          <w:highlight w:val="white"/>
        </w:rPr>
        <w:t>inhibitors, immune suppressants</w:t>
      </w:r>
      <w:r w:rsidRPr="00713CC2">
        <w:rPr>
          <w:rFonts w:ascii="Calibri" w:eastAsia="Calibri" w:hAnsi="Calibri" w:cs="Calibri"/>
          <w:sz w:val="20"/>
          <w:szCs w:val="20"/>
          <w:highlight w:val="white"/>
        </w:rPr>
        <w:t xml:space="preserve"> and second-generation antipsychotics)</w:t>
      </w:r>
    </w:p>
    <w:p w14:paraId="081071B7" w14:textId="77777777" w:rsidR="00146A7E" w:rsidRPr="00713CC2" w:rsidRDefault="005875AD" w:rsidP="005875AD">
      <w:pPr>
        <w:shd w:val="clear" w:color="auto" w:fill="FFFFFF"/>
        <w:spacing w:before="200" w:after="120"/>
        <w:rPr>
          <w:rFonts w:ascii="Calibri" w:eastAsia="Calibri" w:hAnsi="Calibri" w:cs="Calibri"/>
          <w:sz w:val="20"/>
          <w:szCs w:val="20"/>
          <w:highlight w:val="white"/>
        </w:rPr>
      </w:pPr>
      <w:r w:rsidRPr="00713CC2">
        <w:rPr>
          <w:rFonts w:ascii="Calibri" w:eastAsia="Calibri" w:hAnsi="Calibri" w:cs="Calibri"/>
          <w:sz w:val="20"/>
          <w:szCs w:val="20"/>
          <w:highlight w:val="white"/>
        </w:rPr>
        <w:t xml:space="preserve"> </w:t>
      </w:r>
      <w:r w:rsidRPr="00713CC2">
        <w:rPr>
          <w:rFonts w:ascii="Calibri" w:eastAsia="Calibri" w:hAnsi="Calibri" w:cs="Calibri"/>
          <w:b/>
          <w:sz w:val="20"/>
          <w:szCs w:val="20"/>
          <w:highlight w:val="white"/>
        </w:rPr>
        <w:t>Management</w:t>
      </w:r>
    </w:p>
    <w:p w14:paraId="79E72310" w14:textId="77777777" w:rsidR="00146A7E" w:rsidRPr="00713CC2" w:rsidRDefault="005875AD">
      <w:p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Insulin is the corner store of therapy. The total daily dose of insulin is based on the age, weight, stage of diabetes and the severity of initial presentation. Insulin can be administered by syringes or pump. The use of continuous glucose monitor decreases the need of checking blood sugars with the ability to warn the patient</w:t>
      </w:r>
      <w:r w:rsidR="00B122B6" w:rsidRPr="00713CC2">
        <w:rPr>
          <w:rFonts w:ascii="Calibri" w:eastAsia="Calibri" w:hAnsi="Calibri" w:cs="Calibri"/>
          <w:sz w:val="20"/>
          <w:szCs w:val="20"/>
          <w:highlight w:val="white"/>
        </w:rPr>
        <w:t>’s family regarding</w:t>
      </w:r>
      <w:r w:rsidRPr="00713CC2">
        <w:rPr>
          <w:rFonts w:ascii="Calibri" w:eastAsia="Calibri" w:hAnsi="Calibri" w:cs="Calibri"/>
          <w:sz w:val="20"/>
          <w:szCs w:val="20"/>
          <w:highlight w:val="white"/>
        </w:rPr>
        <w:t xml:space="preserve"> low and high blood sugars.</w:t>
      </w:r>
    </w:p>
    <w:p w14:paraId="333915BF" w14:textId="77777777" w:rsidR="00146A7E" w:rsidRPr="00713CC2" w:rsidRDefault="005875AD">
      <w:pPr>
        <w:shd w:val="clear" w:color="auto" w:fill="FFFFFF"/>
        <w:spacing w:before="200" w:after="200"/>
        <w:rPr>
          <w:rFonts w:ascii="Calibri" w:eastAsia="Calibri" w:hAnsi="Calibri" w:cs="Calibri"/>
          <w:b/>
          <w:sz w:val="20"/>
          <w:szCs w:val="20"/>
          <w:highlight w:val="white"/>
        </w:rPr>
      </w:pPr>
      <w:r w:rsidRPr="00713CC2">
        <w:rPr>
          <w:rFonts w:ascii="Calibri" w:eastAsia="Calibri" w:hAnsi="Calibri" w:cs="Calibri"/>
          <w:b/>
          <w:sz w:val="20"/>
          <w:szCs w:val="20"/>
          <w:highlight w:val="white"/>
        </w:rPr>
        <w:t>Complications</w:t>
      </w:r>
    </w:p>
    <w:p w14:paraId="300420D2" w14:textId="77777777" w:rsidR="00146A7E" w:rsidRPr="00713CC2" w:rsidRDefault="005875AD">
      <w:pPr>
        <w:shd w:val="clear" w:color="auto" w:fill="FFFFFF"/>
        <w:spacing w:before="200" w:after="200" w:line="261" w:lineRule="auto"/>
        <w:ind w:firstLine="180"/>
        <w:rPr>
          <w:rFonts w:ascii="Calibri" w:eastAsia="Calibri" w:hAnsi="Calibri" w:cs="Calibri"/>
          <w:b/>
          <w:sz w:val="20"/>
          <w:szCs w:val="20"/>
          <w:highlight w:val="white"/>
        </w:rPr>
      </w:pPr>
      <w:r w:rsidRPr="00713CC2">
        <w:rPr>
          <w:rFonts w:ascii="Calibri" w:eastAsia="Calibri" w:hAnsi="Calibri" w:cs="Calibri"/>
          <w:b/>
          <w:sz w:val="20"/>
          <w:szCs w:val="20"/>
          <w:highlight w:val="white"/>
        </w:rPr>
        <w:t>Acute</w:t>
      </w:r>
    </w:p>
    <w:p w14:paraId="296BE95D" w14:textId="77777777" w:rsidR="00146A7E" w:rsidRPr="00713CC2" w:rsidRDefault="005875AD" w:rsidP="00B122B6">
      <w:pPr>
        <w:pStyle w:val="ListParagraph"/>
        <w:numPr>
          <w:ilvl w:val="0"/>
          <w:numId w:val="8"/>
        </w:numPr>
        <w:shd w:val="clear" w:color="auto" w:fill="FFFFFF"/>
        <w:spacing w:before="200" w:after="200" w:line="329" w:lineRule="auto"/>
        <w:rPr>
          <w:rFonts w:ascii="Calibri" w:eastAsia="Calibri" w:hAnsi="Calibri" w:cs="Calibri"/>
          <w:sz w:val="20"/>
          <w:szCs w:val="20"/>
          <w:highlight w:val="white"/>
        </w:rPr>
      </w:pPr>
      <w:r w:rsidRPr="00713CC2">
        <w:rPr>
          <w:rFonts w:ascii="Calibri" w:eastAsia="Calibri" w:hAnsi="Calibri" w:cs="Calibri"/>
          <w:sz w:val="20"/>
          <w:szCs w:val="20"/>
          <w:highlight w:val="white"/>
        </w:rPr>
        <w:t>Diabetic ketoacidosis</w:t>
      </w:r>
    </w:p>
    <w:p w14:paraId="2BE45CCB" w14:textId="77777777" w:rsidR="00146A7E" w:rsidRPr="00713CC2" w:rsidRDefault="005875AD">
      <w:pPr>
        <w:shd w:val="clear" w:color="auto" w:fill="FFFFFF"/>
        <w:spacing w:before="200" w:after="200"/>
        <w:rPr>
          <w:rFonts w:ascii="Calibri" w:eastAsia="Calibri" w:hAnsi="Calibri" w:cs="Calibri"/>
          <w:b/>
          <w:sz w:val="20"/>
          <w:szCs w:val="20"/>
          <w:highlight w:val="white"/>
        </w:rPr>
      </w:pPr>
      <w:r w:rsidRPr="00713CC2">
        <w:rPr>
          <w:rFonts w:ascii="Calibri" w:eastAsia="Calibri" w:hAnsi="Calibri" w:cs="Calibri"/>
          <w:b/>
          <w:sz w:val="20"/>
          <w:szCs w:val="20"/>
          <w:highlight w:val="white"/>
        </w:rPr>
        <w:t>Chronic</w:t>
      </w:r>
    </w:p>
    <w:p w14:paraId="72C8A093" w14:textId="77777777" w:rsidR="00146A7E" w:rsidRPr="00713CC2" w:rsidRDefault="005875AD" w:rsidP="00B122B6">
      <w:pPr>
        <w:pStyle w:val="ListParagraph"/>
        <w:numPr>
          <w:ilvl w:val="0"/>
          <w:numId w:val="6"/>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Microvascular Complications-Nephropathy, retinopathy and neuropathy. Screening starts at the age ≥10 years/puberty after having diabetes for 3-5 years.</w:t>
      </w:r>
    </w:p>
    <w:p w14:paraId="15C51686" w14:textId="77777777" w:rsidR="00146A7E" w:rsidRPr="00713CC2" w:rsidRDefault="005875AD" w:rsidP="00B122B6">
      <w:pPr>
        <w:pStyle w:val="ListParagraph"/>
        <w:numPr>
          <w:ilvl w:val="0"/>
          <w:numId w:val="6"/>
        </w:num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Macrovascular Complications</w:t>
      </w:r>
      <w:r w:rsidRPr="00713CC2">
        <w:rPr>
          <w:rFonts w:ascii="Calibri" w:eastAsia="Calibri" w:hAnsi="Calibri" w:cs="Calibri"/>
          <w:b/>
          <w:sz w:val="20"/>
          <w:szCs w:val="20"/>
          <w:highlight w:val="white"/>
        </w:rPr>
        <w:t>-</w:t>
      </w:r>
      <w:r w:rsidRPr="00713CC2">
        <w:rPr>
          <w:rFonts w:ascii="Calibri" w:eastAsia="Calibri" w:hAnsi="Calibri" w:cs="Calibri"/>
          <w:sz w:val="20"/>
          <w:szCs w:val="20"/>
          <w:highlight w:val="white"/>
        </w:rPr>
        <w:t>Hypertension at the time of diagnosis and at every visit. Dyslipidemia-≥10 years, if normal every 3-5 years.</w:t>
      </w:r>
    </w:p>
    <w:p w14:paraId="44FDD48B" w14:textId="77777777" w:rsidR="00146A7E" w:rsidRPr="00713CC2" w:rsidRDefault="005875AD">
      <w:p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b/>
          <w:sz w:val="20"/>
          <w:szCs w:val="20"/>
          <w:highlight w:val="white"/>
        </w:rPr>
        <w:t>Comorbidities -</w:t>
      </w:r>
      <w:r w:rsidRPr="00713CC2">
        <w:rPr>
          <w:rFonts w:ascii="Calibri" w:eastAsia="Calibri" w:hAnsi="Calibri" w:cs="Calibri"/>
          <w:sz w:val="20"/>
          <w:szCs w:val="20"/>
          <w:highlight w:val="white"/>
        </w:rPr>
        <w:t>autoimmune thyroiditis, celiac disease</w:t>
      </w:r>
      <w:r w:rsidR="00B122B6" w:rsidRPr="00713CC2">
        <w:rPr>
          <w:rFonts w:ascii="Calibri" w:eastAsia="Calibri" w:hAnsi="Calibri" w:cs="Calibri"/>
          <w:sz w:val="20"/>
          <w:szCs w:val="20"/>
          <w:highlight w:val="white"/>
        </w:rPr>
        <w:t>.</w:t>
      </w:r>
    </w:p>
    <w:p w14:paraId="58CFA55F" w14:textId="77777777" w:rsidR="00146A7E" w:rsidRPr="00713CC2" w:rsidRDefault="005875AD">
      <w:pPr>
        <w:shd w:val="clear" w:color="auto" w:fill="FFFFFF"/>
        <w:spacing w:before="200" w:after="200"/>
        <w:rPr>
          <w:rFonts w:ascii="Calibri" w:eastAsia="Calibri" w:hAnsi="Calibri" w:cs="Calibri"/>
          <w:b/>
          <w:sz w:val="20"/>
          <w:szCs w:val="20"/>
          <w:highlight w:val="white"/>
        </w:rPr>
      </w:pPr>
      <w:r w:rsidRPr="00713CC2">
        <w:rPr>
          <w:rFonts w:ascii="Calibri" w:eastAsia="Calibri" w:hAnsi="Calibri" w:cs="Calibri"/>
          <w:b/>
          <w:sz w:val="20"/>
          <w:szCs w:val="20"/>
          <w:highlight w:val="white"/>
        </w:rPr>
        <w:t>References/ Available Resources</w:t>
      </w:r>
    </w:p>
    <w:p w14:paraId="3108154A" w14:textId="77777777" w:rsidR="00146A7E" w:rsidRPr="00713CC2" w:rsidRDefault="005875AD">
      <w:pPr>
        <w:shd w:val="clear" w:color="auto" w:fill="FFFFFF"/>
        <w:spacing w:before="200" w:after="200"/>
        <w:rPr>
          <w:rFonts w:ascii="Calibri" w:eastAsia="Calibri" w:hAnsi="Calibri" w:cs="Calibri"/>
          <w:sz w:val="20"/>
          <w:szCs w:val="20"/>
          <w:highlight w:val="white"/>
        </w:rPr>
      </w:pPr>
      <w:r w:rsidRPr="00713CC2">
        <w:rPr>
          <w:rFonts w:ascii="Calibri" w:eastAsia="Calibri" w:hAnsi="Calibri" w:cs="Calibri"/>
          <w:sz w:val="20"/>
          <w:szCs w:val="20"/>
          <w:highlight w:val="white"/>
        </w:rPr>
        <w:t>1) American Diabetes Association. Children and Adolescents: Standards of Medical Care in Diabetes-2018. Diabetes Care. 2018;41(Suppl 1): S126</w:t>
      </w:r>
    </w:p>
    <w:p w14:paraId="1FDEB434" w14:textId="77777777" w:rsidR="00146A7E" w:rsidRPr="00B122B6" w:rsidRDefault="00146A7E">
      <w:pPr>
        <w:rPr>
          <w:rFonts w:ascii="Calibri" w:eastAsia="Calibri" w:hAnsi="Calibri" w:cs="Calibri"/>
          <w:sz w:val="24"/>
          <w:szCs w:val="24"/>
          <w:highlight w:val="white"/>
        </w:rPr>
      </w:pPr>
      <w:bookmarkStart w:id="0" w:name="_GoBack"/>
      <w:bookmarkEnd w:id="0"/>
    </w:p>
    <w:sectPr w:rsidR="00146A7E" w:rsidRPr="00B122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317C" w14:textId="77777777" w:rsidR="00713CC2" w:rsidRDefault="00713CC2" w:rsidP="00713CC2">
      <w:pPr>
        <w:spacing w:line="240" w:lineRule="auto"/>
      </w:pPr>
      <w:r>
        <w:separator/>
      </w:r>
    </w:p>
  </w:endnote>
  <w:endnote w:type="continuationSeparator" w:id="0">
    <w:p w14:paraId="4F7DABDD" w14:textId="77777777" w:rsidR="00713CC2" w:rsidRDefault="00713CC2" w:rsidP="00713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FD60" w14:textId="77777777" w:rsidR="006252B6" w:rsidRDefault="0062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FCDD" w14:textId="77777777" w:rsidR="006252B6" w:rsidRDefault="006252B6">
    <w:pPr>
      <w:pStyle w:val="Footer"/>
    </w:pPr>
    <w:r>
      <w:t>Kanika Shanker, 2019: PES Education Committee</w:t>
    </w:r>
  </w:p>
  <w:p w14:paraId="06746C27" w14:textId="77777777" w:rsidR="006252B6" w:rsidRDefault="0062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D6BF" w14:textId="77777777" w:rsidR="006252B6" w:rsidRDefault="0062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F613" w14:textId="77777777" w:rsidR="00713CC2" w:rsidRDefault="00713CC2" w:rsidP="00713CC2">
      <w:pPr>
        <w:spacing w:line="240" w:lineRule="auto"/>
      </w:pPr>
      <w:r>
        <w:separator/>
      </w:r>
    </w:p>
  </w:footnote>
  <w:footnote w:type="continuationSeparator" w:id="0">
    <w:p w14:paraId="1AA977ED" w14:textId="77777777" w:rsidR="00713CC2" w:rsidRDefault="00713CC2" w:rsidP="00713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90AB" w14:textId="77777777" w:rsidR="006252B6" w:rsidRDefault="0062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2B30" w14:textId="77777777" w:rsidR="00713CC2" w:rsidRDefault="00713CC2" w:rsidP="00713CC2">
    <w:pPr>
      <w:pStyle w:val="Header"/>
      <w:jc w:val="right"/>
    </w:pPr>
    <w:r>
      <w:rPr>
        <w:noProof/>
        <w:lang w:val="en-US"/>
      </w:rPr>
      <w:drawing>
        <wp:inline distT="0" distB="0" distL="0" distR="0" wp14:anchorId="32ACBCA4" wp14:editId="27CD9D3F">
          <wp:extent cx="1176020" cy="844550"/>
          <wp:effectExtent l="0" t="0" r="5080" b="0"/>
          <wp:docPr id="2" name="Picture 2" descr="PES.png"/>
          <wp:cNvGraphicFramePr/>
          <a:graphic xmlns:a="http://schemas.openxmlformats.org/drawingml/2006/main">
            <a:graphicData uri="http://schemas.openxmlformats.org/drawingml/2006/picture">
              <pic:pic xmlns:pic="http://schemas.openxmlformats.org/drawingml/2006/picture">
                <pic:nvPicPr>
                  <pic:cNvPr id="2" name="Picture 2" descr="PES.png"/>
                  <pic:cNvPicPr/>
                </pic:nvPicPr>
                <pic:blipFill>
                  <a:blip r:embed="rId1"/>
                  <a:stretch>
                    <a:fillRect/>
                  </a:stretch>
                </pic:blipFill>
                <pic:spPr>
                  <a:xfrm>
                    <a:off x="0" y="0"/>
                    <a:ext cx="1176020" cy="844550"/>
                  </a:xfrm>
                  <a:prstGeom prst="rect">
                    <a:avLst/>
                  </a:prstGeom>
                </pic:spPr>
              </pic:pic>
            </a:graphicData>
          </a:graphic>
        </wp:inline>
      </w:drawing>
    </w:r>
  </w:p>
  <w:p w14:paraId="05ADB2AC" w14:textId="77777777" w:rsidR="00713CC2" w:rsidRDefault="0071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8CFD" w14:textId="77777777" w:rsidR="006252B6" w:rsidRDefault="0062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5E9"/>
    <w:multiLevelType w:val="hybridMultilevel"/>
    <w:tmpl w:val="F20A32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B35F51"/>
    <w:multiLevelType w:val="hybridMultilevel"/>
    <w:tmpl w:val="6882CCF2"/>
    <w:lvl w:ilvl="0" w:tplc="A3B848E8">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51E"/>
    <w:multiLevelType w:val="hybridMultilevel"/>
    <w:tmpl w:val="8E9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1D48"/>
    <w:multiLevelType w:val="hybridMultilevel"/>
    <w:tmpl w:val="FC5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56CF2"/>
    <w:multiLevelType w:val="hybridMultilevel"/>
    <w:tmpl w:val="9480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22C69"/>
    <w:multiLevelType w:val="hybridMultilevel"/>
    <w:tmpl w:val="9D368F3A"/>
    <w:lvl w:ilvl="0" w:tplc="7F7A00D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ED0098B"/>
    <w:multiLevelType w:val="hybridMultilevel"/>
    <w:tmpl w:val="9A4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A7DDD"/>
    <w:multiLevelType w:val="hybridMultilevel"/>
    <w:tmpl w:val="24C63AF0"/>
    <w:lvl w:ilvl="0" w:tplc="8BBE7DEC">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47C5"/>
    <w:multiLevelType w:val="hybridMultilevel"/>
    <w:tmpl w:val="995A9582"/>
    <w:lvl w:ilvl="0" w:tplc="7A78BA32">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DUxNjYxMjExNbJQ0lEKTi0uzszPAykwqgUAUNej3iwAAAA="/>
    <w:docVar w:name="dgnword-docGUID" w:val="{96EEABFE-EA27-4D89-A270-4ADDEB1FF675}"/>
    <w:docVar w:name="dgnword-eventsink" w:val="578423792"/>
  </w:docVars>
  <w:rsids>
    <w:rsidRoot w:val="00146A7E"/>
    <w:rsid w:val="00146A7E"/>
    <w:rsid w:val="00222731"/>
    <w:rsid w:val="005875AD"/>
    <w:rsid w:val="006252B6"/>
    <w:rsid w:val="00713CC2"/>
    <w:rsid w:val="00B122B6"/>
    <w:rsid w:val="00E0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99FE"/>
  <w15:docId w15:val="{41023742-7943-490F-92D5-2E3221E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122B6"/>
    <w:pPr>
      <w:ind w:left="720"/>
      <w:contextualSpacing/>
    </w:pPr>
  </w:style>
  <w:style w:type="paragraph" w:styleId="Header">
    <w:name w:val="header"/>
    <w:basedOn w:val="Normal"/>
    <w:link w:val="HeaderChar"/>
    <w:uiPriority w:val="99"/>
    <w:unhideWhenUsed/>
    <w:rsid w:val="00713CC2"/>
    <w:pPr>
      <w:tabs>
        <w:tab w:val="center" w:pos="4680"/>
        <w:tab w:val="right" w:pos="9360"/>
      </w:tabs>
      <w:spacing w:line="240" w:lineRule="auto"/>
    </w:pPr>
  </w:style>
  <w:style w:type="character" w:customStyle="1" w:styleId="HeaderChar">
    <w:name w:val="Header Char"/>
    <w:basedOn w:val="DefaultParagraphFont"/>
    <w:link w:val="Header"/>
    <w:uiPriority w:val="99"/>
    <w:rsid w:val="00713CC2"/>
  </w:style>
  <w:style w:type="paragraph" w:styleId="Footer">
    <w:name w:val="footer"/>
    <w:basedOn w:val="Normal"/>
    <w:link w:val="FooterChar"/>
    <w:uiPriority w:val="99"/>
    <w:unhideWhenUsed/>
    <w:rsid w:val="00713CC2"/>
    <w:pPr>
      <w:tabs>
        <w:tab w:val="center" w:pos="4680"/>
        <w:tab w:val="right" w:pos="9360"/>
      </w:tabs>
      <w:spacing w:line="240" w:lineRule="auto"/>
    </w:pPr>
  </w:style>
  <w:style w:type="character" w:customStyle="1" w:styleId="FooterChar">
    <w:name w:val="Footer Char"/>
    <w:basedOn w:val="DefaultParagraphFont"/>
    <w:link w:val="Footer"/>
    <w:uiPriority w:val="99"/>
    <w:rsid w:val="0071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Kanika Shanker</dc:creator>
  <cp:lastModifiedBy>Roberts, Alissa</cp:lastModifiedBy>
  <cp:revision>5</cp:revision>
  <dcterms:created xsi:type="dcterms:W3CDTF">2019-05-07T01:48:00Z</dcterms:created>
  <dcterms:modified xsi:type="dcterms:W3CDTF">2020-09-22T21:47:00Z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2020-09-22T21:47:40Z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d8b207c3-9e5e-4337-8d34-7b0d5f80c0b9</vt:lpwstr>
  </property>
  <property fmtid="{D5CDD505-2E9C-101B-9397-08002B2CF9AE}" pid="8" name="MSIP_Label_046da4d3-ba20-4986-879c-49e262eff745_ContentBits">
    <vt:lpwstr>0</vt:lpwstr>
  </property>
</Properties>
</file>