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EE1A9" w14:textId="77777777" w:rsidR="00B1310D" w:rsidRPr="00645B06" w:rsidRDefault="00A45989">
      <w:p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B06">
        <w:rPr>
          <w:rFonts w:ascii="Times New Roman" w:eastAsia="Times New Roman" w:hAnsi="Times New Roman" w:cs="Times New Roman"/>
          <w:b/>
          <w:sz w:val="24"/>
          <w:szCs w:val="24"/>
        </w:rPr>
        <w:t>Type 2 Diabetes in children</w:t>
      </w:r>
    </w:p>
    <w:p w14:paraId="71D3C0DF" w14:textId="77777777" w:rsidR="00B1310D" w:rsidRPr="000D440A" w:rsidRDefault="00B1310D">
      <w:p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9B18DB" w14:textId="253DEA09" w:rsidR="00B1310D" w:rsidRPr="000D440A" w:rsidRDefault="00C2754F">
      <w:p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440A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114300" distB="114300" distL="114300" distR="114300" simplePos="0" relativeHeight="251659776" behindDoc="1" locked="0" layoutInCell="1" hidden="0" allowOverlap="1" wp14:anchorId="3FCA809C" wp14:editId="3857BE0A">
                <wp:simplePos x="0" y="0"/>
                <wp:positionH relativeFrom="margin">
                  <wp:posOffset>-190500</wp:posOffset>
                </wp:positionH>
                <wp:positionV relativeFrom="paragraph">
                  <wp:posOffset>264160</wp:posOffset>
                </wp:positionV>
                <wp:extent cx="2295525" cy="2209800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2209800"/>
                          <a:chOff x="2347949" y="400980"/>
                          <a:chExt cx="2838743" cy="3357016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2347949" y="400980"/>
                            <a:ext cx="1896422" cy="82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12589C" w14:textId="77777777" w:rsidR="00B1310D" w:rsidRPr="00C2754F" w:rsidRDefault="00A45989" w:rsidP="00645B0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2754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Increase Adiposity</w:t>
                              </w:r>
                            </w:p>
                            <w:p w14:paraId="22DE423F" w14:textId="7E0DFBFC" w:rsidR="00B1310D" w:rsidRPr="00C2754F" w:rsidRDefault="00A45989" w:rsidP="00645B0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2754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Ethnicity</w:t>
                              </w:r>
                            </w:p>
                            <w:p w14:paraId="43A0421A" w14:textId="77777777" w:rsidR="00B1310D" w:rsidRPr="00DD339D" w:rsidRDefault="00B1310D" w:rsidP="00645B0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3" name="Straight Arrow Connector 3"/>
                        <wps:cNvCnPr/>
                        <wps:spPr>
                          <a:xfrm flipH="1">
                            <a:off x="3239735" y="1193200"/>
                            <a:ext cx="9600" cy="685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474027" y="1819031"/>
                            <a:ext cx="1971600" cy="76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8D5ABE" w14:textId="77777777" w:rsidR="00B1310D" w:rsidRPr="00DD339D" w:rsidRDefault="00DD339D">
                              <w:pPr>
                                <w:spacing w:line="240" w:lineRule="auto"/>
                                <w:textDirection w:val="btL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45989" w:rsidRPr="00DD339D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Insulin Resistance</w:t>
                              </w:r>
                            </w:p>
                            <w:p w14:paraId="47DEEC49" w14:textId="77777777" w:rsidR="00B1310D" w:rsidRPr="00DD339D" w:rsidRDefault="00A45989">
                              <w:pPr>
                                <w:spacing w:line="240" w:lineRule="auto"/>
                                <w:textDirection w:val="btL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D339D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Insulin Deficiency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3249335" y="2512046"/>
                            <a:ext cx="9600" cy="47640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800350" y="3248025"/>
                            <a:ext cx="171300" cy="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31DB42" w14:textId="77777777" w:rsidR="00B1310D" w:rsidRDefault="00B1310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548192" y="3117796"/>
                            <a:ext cx="26385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684118" w14:textId="77777777" w:rsidR="00B1310D" w:rsidRPr="00DD339D" w:rsidRDefault="00A45989">
                              <w:pPr>
                                <w:spacing w:line="240" w:lineRule="auto"/>
                                <w:textDirection w:val="btL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D339D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Type 2 Diabetes Mellitus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A809C" id="Group 1" o:spid="_x0000_s1026" style="position:absolute;margin-left:-15pt;margin-top:20.8pt;width:180.75pt;height:174pt;z-index:-251656704;mso-wrap-distance-top:9pt;mso-wrap-distance-bottom:9pt;mso-position-horizontal-relative:margin;mso-width-relative:margin;mso-height-relative:margin" coordorigin="23479,4009" coordsize="28387,3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3479;top:4009;width:18964;height:8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" filled="f" stroked="f">
                  <v:textbox inset="2.53958mm,2.53958mm,2.53958mm,2.53958mm">
                    <w:txbxContent>
                      <w:p w14:paraId="6812589C" w14:textId="77777777" w:rsidR="00B1310D" w:rsidRPr="00C2754F" w:rsidRDefault="00A45989" w:rsidP="00645B06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2754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Increase Adiposity</w:t>
                        </w:r>
                      </w:p>
                      <w:p w14:paraId="22DE423F" w14:textId="7E0DFBFC" w:rsidR="00B1310D" w:rsidRPr="00C2754F" w:rsidRDefault="00A45989" w:rsidP="00645B06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2754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Ethnicity</w:t>
                        </w:r>
                      </w:p>
                      <w:p w14:paraId="43A0421A" w14:textId="77777777" w:rsidR="00B1310D" w:rsidRPr="00DD339D" w:rsidRDefault="00B1310D" w:rsidP="00645B06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32397;top:11932;width:96;height:68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<v:stroke endarrow="block"/>
                </v:shape>
                <v:shape id="Text Box 4" o:spid="_x0000_s1029" type="#_x0000_t202" style="position:absolute;left:24740;top:18190;width:19716;height:7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6VxgAAANoAAAAPAAAAZHJzL2Rvd25yZXYueG1sRI9BSwMx&#10;FITvgv8hPMGL2GyL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WihulcYAAADaAAAA&#10;DwAAAAAAAAAAAAAAAAAHAgAAZHJzL2Rvd25yZXYueG1sUEsFBgAAAAADAAMAtwAAAPoCAAAAAA==&#10;" filled="f" stroked="f">
                  <v:textbox inset="2.53958mm,2.53958mm,2.53958mm,2.53958mm">
                    <w:txbxContent>
                      <w:p w14:paraId="168D5ABE" w14:textId="77777777" w:rsidR="00B1310D" w:rsidRPr="00DD339D" w:rsidRDefault="00DD339D">
                        <w:pPr>
                          <w:spacing w:line="240" w:lineRule="auto"/>
                          <w:textDirection w:val="btL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A45989" w:rsidRPr="00DD33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Insulin Resistance</w:t>
                        </w:r>
                      </w:p>
                      <w:p w14:paraId="47DEEC49" w14:textId="77777777" w:rsidR="00B1310D" w:rsidRPr="00DD339D" w:rsidRDefault="00A45989">
                        <w:pPr>
                          <w:spacing w:line="240" w:lineRule="auto"/>
                          <w:textDirection w:val="btL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D33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Insulin Deficiency</w:t>
                        </w:r>
                      </w:p>
                    </w:txbxContent>
                  </v:textbox>
                </v:shape>
                <v:shape id="Straight Arrow Connector 5" o:spid="_x0000_s1030" type="#_x0000_t32" style="position:absolute;left:32493;top:25120;width:96;height:4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Text Box 6" o:spid="_x0000_s1031" type="#_x0000_t202" style="position:absolute;left:28003;top:32480;width:1713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14:paraId="1231DB42" w14:textId="77777777" w:rsidR="00B1310D" w:rsidRDefault="00B1310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7" o:spid="_x0000_s1032" type="#_x0000_t202" style="position:absolute;left:25481;top:31177;width:26385;height:6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  <v:textbox inset="2.53958mm,2.53958mm,2.53958mm,2.53958mm">
                    <w:txbxContent>
                      <w:p w14:paraId="4C684118" w14:textId="77777777" w:rsidR="00B1310D" w:rsidRPr="00DD339D" w:rsidRDefault="00A45989">
                        <w:pPr>
                          <w:spacing w:line="240" w:lineRule="auto"/>
                          <w:textDirection w:val="btL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D33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Type 2 Diabetes Mellitus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45989" w:rsidRPr="000D440A">
        <w:rPr>
          <w:rFonts w:ascii="Times New Roman" w:eastAsia="Times New Roman" w:hAnsi="Times New Roman" w:cs="Times New Roman"/>
          <w:b/>
          <w:sz w:val="20"/>
          <w:szCs w:val="20"/>
        </w:rPr>
        <w:t>Pathophysiology                        Who to test for type 2 diabetes in children</w:t>
      </w:r>
    </w:p>
    <w:p w14:paraId="50156E7D" w14:textId="5F6AF4CB" w:rsidR="00B1310D" w:rsidRPr="000D440A" w:rsidRDefault="00A45989">
      <w:pPr>
        <w:shd w:val="clear" w:color="auto" w:fill="FFFFFF"/>
        <w:spacing w:before="200" w:after="20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Gungsuh" w:hAnsi="Times New Roman" w:cs="Times New Roman"/>
          <w:sz w:val="20"/>
          <w:szCs w:val="20"/>
        </w:rPr>
        <w:t xml:space="preserve">The American Diabetes </w:t>
      </w:r>
      <w:r w:rsidR="0046774B" w:rsidRPr="000D440A">
        <w:rPr>
          <w:rFonts w:ascii="Times New Roman" w:eastAsia="Gungsuh" w:hAnsi="Times New Roman" w:cs="Times New Roman"/>
          <w:sz w:val="20"/>
          <w:szCs w:val="20"/>
        </w:rPr>
        <w:t>Association recommends</w:t>
      </w:r>
      <w:r w:rsidRPr="000D440A">
        <w:rPr>
          <w:rFonts w:ascii="Times New Roman" w:eastAsia="Gungsuh" w:hAnsi="Times New Roman" w:cs="Times New Roman"/>
          <w:sz w:val="20"/>
          <w:szCs w:val="20"/>
        </w:rPr>
        <w:t xml:space="preserve"> testing asymptomatic overweight and obese children and adolescents for T2DM after the onset of puberty or ≥10 years, whichever occurs earlier, if they meet the following screening criteria:</w:t>
      </w:r>
    </w:p>
    <w:p w14:paraId="613C7E96" w14:textId="77777777" w:rsidR="00B1310D" w:rsidRPr="000D440A" w:rsidRDefault="00A45989">
      <w:pPr>
        <w:shd w:val="clear" w:color="auto" w:fill="FFFFFF"/>
        <w:spacing w:before="200" w:after="20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>●T2DM mellitus in a first- or second-degree relative.</w:t>
      </w:r>
    </w:p>
    <w:p w14:paraId="68D11DC7" w14:textId="77777777" w:rsidR="00B1310D" w:rsidRPr="000D440A" w:rsidRDefault="00A45989">
      <w:pPr>
        <w:shd w:val="clear" w:color="auto" w:fill="FFFFFF"/>
        <w:spacing w:before="200" w:after="20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>●High-risk racial/ethnic group: Native American, African American, Latino, Asian American, or Pacific Islander.</w:t>
      </w:r>
    </w:p>
    <w:p w14:paraId="39703A9A" w14:textId="77777777" w:rsidR="00B1310D" w:rsidRPr="000D440A" w:rsidRDefault="00A45989">
      <w:pPr>
        <w:shd w:val="clear" w:color="auto" w:fill="FFFFFF"/>
        <w:spacing w:before="200" w:after="20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>●Signs and conditions associated with insulin resistance or small for gestational age for birth weight.</w:t>
      </w:r>
    </w:p>
    <w:p w14:paraId="2C106BC0" w14:textId="77777777" w:rsidR="00C2754F" w:rsidRDefault="00A45989" w:rsidP="00C2754F">
      <w:pPr>
        <w:shd w:val="clear" w:color="auto" w:fill="FFFFFF"/>
        <w:spacing w:before="200" w:after="20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>●Maternal history of diabetes or gestational diabetes during the child's gestation.</w:t>
      </w:r>
    </w:p>
    <w:p w14:paraId="17EA2AAD" w14:textId="77777777" w:rsidR="00C2754F" w:rsidRDefault="00C2754F" w:rsidP="00C2754F">
      <w:pPr>
        <w:shd w:val="clear" w:color="auto" w:fill="FFFFFF"/>
        <w:spacing w:before="200" w:after="20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69A9097" w14:textId="02BC9699" w:rsidR="00B1310D" w:rsidRPr="00C2754F" w:rsidRDefault="00B010DE" w:rsidP="00C2754F">
      <w:pPr>
        <w:shd w:val="clear" w:color="auto" w:fill="FFFFFF"/>
        <w:spacing w:before="200" w:after="20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Definition</w:t>
      </w:r>
      <w:r w:rsidR="00645B06">
        <w:rPr>
          <w:rFonts w:ascii="Times New Roman" w:eastAsia="Times New Roman" w:hAnsi="Times New Roman" w:cs="Times New Roman"/>
          <w:b/>
          <w:sz w:val="20"/>
          <w:szCs w:val="20"/>
        </w:rPr>
        <w:t xml:space="preserve"> of Type 2DM</w:t>
      </w:r>
    </w:p>
    <w:p w14:paraId="72A9B410" w14:textId="77777777" w:rsidR="00B1310D" w:rsidRPr="000D440A" w:rsidRDefault="00A45989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Gungsuh" w:hAnsi="Times New Roman" w:cs="Times New Roman"/>
          <w:sz w:val="20"/>
          <w:szCs w:val="20"/>
        </w:rPr>
        <w:t xml:space="preserve">●Fasting plasma glucose ≥126 mg/dL. </w:t>
      </w:r>
    </w:p>
    <w:p w14:paraId="736DC764" w14:textId="77777777" w:rsidR="00B1310D" w:rsidRPr="000D440A" w:rsidRDefault="00A45989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Gungsuh" w:hAnsi="Times New Roman" w:cs="Times New Roman"/>
          <w:sz w:val="20"/>
          <w:szCs w:val="20"/>
        </w:rPr>
        <w:t>●Random venous plasma glucose ≥200 mg/dL in a patient with classic symptoms of hyperglycemia.</w:t>
      </w:r>
    </w:p>
    <w:p w14:paraId="558731A6" w14:textId="77777777" w:rsidR="00B1310D" w:rsidRPr="000D440A" w:rsidRDefault="00A45989">
      <w:pPr>
        <w:shd w:val="clear" w:color="auto" w:fill="FFFFFF"/>
        <w:spacing w:before="200" w:after="20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Gungsuh" w:hAnsi="Times New Roman" w:cs="Times New Roman"/>
          <w:sz w:val="20"/>
          <w:szCs w:val="20"/>
        </w:rPr>
        <w:t xml:space="preserve">●Plasma glucose ≥200 mg/dL measured two hours after a </w:t>
      </w:r>
      <w:r w:rsidR="0046774B" w:rsidRPr="000D440A">
        <w:rPr>
          <w:rFonts w:ascii="Times New Roman" w:eastAsia="Gungsuh" w:hAnsi="Times New Roman" w:cs="Times New Roman"/>
          <w:sz w:val="20"/>
          <w:szCs w:val="20"/>
        </w:rPr>
        <w:t>glucose load of 1.75 g/kg (max-</w:t>
      </w:r>
      <w:r w:rsidRPr="000D440A">
        <w:rPr>
          <w:rFonts w:ascii="Times New Roman" w:eastAsia="Gungsuh" w:hAnsi="Times New Roman" w:cs="Times New Roman"/>
          <w:sz w:val="20"/>
          <w:szCs w:val="20"/>
        </w:rPr>
        <w:t>75 g) in an oral glucose tolerance test.</w:t>
      </w:r>
    </w:p>
    <w:p w14:paraId="3E88A3EB" w14:textId="77777777" w:rsidR="00B1310D" w:rsidRPr="000D440A" w:rsidRDefault="00A45989">
      <w:pPr>
        <w:shd w:val="clear" w:color="auto" w:fill="FFFFFF"/>
        <w:spacing w:before="200" w:after="20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●Hemoglobin A1c&gt;6.5% 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</w:rPr>
        <w:t>on two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 separate occasions.</w:t>
      </w:r>
    </w:p>
    <w:p w14:paraId="1B053674" w14:textId="77777777" w:rsidR="00B1310D" w:rsidRPr="000D440A" w:rsidRDefault="00A45989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Symptoms-asymptomatic, polyuria, nocturia, enuresis, increased thirst, 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</w:rPr>
        <w:t>fatigue, increased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 appetite, longstanding weight gain but possible recent weight loss and menstrual irregularity in females</w:t>
      </w:r>
    </w:p>
    <w:p w14:paraId="3206CFF1" w14:textId="77777777" w:rsidR="00B1310D" w:rsidRPr="000D440A" w:rsidRDefault="00B1310D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A64152F" w14:textId="77777777" w:rsidR="00B1310D" w:rsidRPr="000D440A" w:rsidRDefault="00A45989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b/>
          <w:sz w:val="20"/>
          <w:szCs w:val="20"/>
        </w:rPr>
        <w:t>Difference between type 1 diabetes and type 2 diabetes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B1310D" w:rsidRPr="000D440A" w14:paraId="33E0D0A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9499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Features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9A55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1 DM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8653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2 DM</w:t>
            </w:r>
          </w:p>
        </w:tc>
      </w:tr>
      <w:tr w:rsidR="00B1310D" w:rsidRPr="000D440A" w14:paraId="35AC4A6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80D7" w14:textId="4FEBCBBD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r w:rsidR="00645B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predisposition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A0B4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Throughout childhood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091C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Puberty</w:t>
            </w:r>
          </w:p>
        </w:tc>
      </w:tr>
      <w:tr w:rsidR="00B1310D" w:rsidRPr="000D440A" w14:paraId="69309EAC" w14:textId="77777777" w:rsidTr="0046774B">
        <w:trPr>
          <w:trHeight w:val="582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BD25" w14:textId="6BED4649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Ethnicity</w:t>
            </w:r>
            <w:r w:rsidR="00645B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risk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F8DA" w14:textId="77777777" w:rsidR="00B1310D" w:rsidRPr="000D440A" w:rsidRDefault="0046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Non-Hispanic</w:t>
            </w:r>
            <w:r w:rsidR="00A45989"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white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96D1" w14:textId="62FE53B0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Latino, </w:t>
            </w:r>
            <w:r w:rsidR="00645B0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fro</w:t>
            </w:r>
            <w:r w:rsidR="00645B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6774B"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American</w:t>
            </w: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, natives</w:t>
            </w:r>
          </w:p>
        </w:tc>
      </w:tr>
      <w:tr w:rsidR="00B1310D" w:rsidRPr="000D440A" w14:paraId="3AE0411A" w14:textId="77777777">
        <w:trPr>
          <w:trHeight w:val="48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2905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Body Habitus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53F3" w14:textId="77777777" w:rsidR="00B1310D" w:rsidRPr="000D440A" w:rsidRDefault="00A45989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Thin, normal or obese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4E6C" w14:textId="77777777" w:rsidR="00B1310D" w:rsidRPr="000D440A" w:rsidRDefault="00A45989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obese</w:t>
            </w:r>
          </w:p>
        </w:tc>
      </w:tr>
      <w:tr w:rsidR="00B1310D" w:rsidRPr="000D440A" w14:paraId="50520E9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614E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Family History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7C587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5-10%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9DDD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75-90%</w:t>
            </w:r>
          </w:p>
        </w:tc>
      </w:tr>
      <w:tr w:rsidR="00B1310D" w:rsidRPr="000D440A" w14:paraId="0ED5683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6304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Insulin resistance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8351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Not present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0A5CD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B1310D" w:rsidRPr="000D440A" w14:paraId="5709276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D48D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Ketosis at presentation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FA44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E2C3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5-10% of cases</w:t>
            </w:r>
          </w:p>
        </w:tc>
      </w:tr>
      <w:tr w:rsidR="00B1310D" w:rsidRPr="000D440A" w14:paraId="4C90E6E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A9F0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Pancreatic antibodies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2326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1CCE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Not present</w:t>
            </w:r>
          </w:p>
        </w:tc>
      </w:tr>
      <w:tr w:rsidR="00B1310D" w:rsidRPr="000D440A" w14:paraId="599CB7E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CEA3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C-peptide levels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3A6D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4124" w14:textId="77777777" w:rsidR="00B1310D" w:rsidRPr="000D440A" w:rsidRDefault="00A45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0A">
              <w:rPr>
                <w:rFonts w:ascii="Times New Roman" w:eastAsia="Times New Roman" w:hAnsi="Times New Roman" w:cs="Times New Roman"/>
                <w:sz w:val="20"/>
                <w:szCs w:val="20"/>
              </w:rPr>
              <w:t>high</w:t>
            </w:r>
          </w:p>
        </w:tc>
      </w:tr>
    </w:tbl>
    <w:p w14:paraId="6C46F63F" w14:textId="77777777" w:rsidR="00B1310D" w:rsidRPr="000D440A" w:rsidRDefault="00B1310D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961CD70" w14:textId="77777777" w:rsidR="00B1310D" w:rsidRPr="000D440A" w:rsidRDefault="00B1310D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14:paraId="381339F3" w14:textId="77777777" w:rsidR="00B1310D" w:rsidRPr="000D440A" w:rsidRDefault="00A45989">
      <w:p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b/>
          <w:sz w:val="20"/>
          <w:szCs w:val="20"/>
        </w:rPr>
        <w:t>Other type of Diabetes which presents as type 2 diabetes</w:t>
      </w:r>
    </w:p>
    <w:p w14:paraId="54A2E748" w14:textId="77777777" w:rsidR="00B1310D" w:rsidRPr="000D440A" w:rsidRDefault="00A45989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●Maturity onset diabetes of the young(MODY) – clinically heterogeneous disorder characterized by non-insulin dependent diabetes diagnosed at a young age with autosomal dominant transmission and lack of pancreatic autoantibodies. </w:t>
      </w:r>
    </w:p>
    <w:p w14:paraId="088FA45B" w14:textId="77777777" w:rsidR="00B1310D" w:rsidRPr="000D440A" w:rsidRDefault="00A45989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●Diseases of the exocrine system such as Cystic 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</w:rPr>
        <w:t>fibrosis, endocrine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 abnormalities in glucose 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</w:rPr>
        <w:t>regulation such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 as Cushing syndro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</w:rPr>
        <w:t>me and drug-induced diabetes – g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>lucocorticoids, HIV protease inhibitors,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</w:rPr>
        <w:t xml:space="preserve"> cyclosporine,  </w:t>
      </w:r>
      <w:r w:rsidR="00B010DE">
        <w:rPr>
          <w:rFonts w:ascii="Times New Roman" w:eastAsia="Times New Roman" w:hAnsi="Times New Roman" w:cs="Times New Roman"/>
          <w:sz w:val="20"/>
          <w:szCs w:val="20"/>
        </w:rPr>
        <w:t>l-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</w:rPr>
        <w:t>asparaginase, tacrolimus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 and second generation antipsychotics. </w:t>
      </w:r>
    </w:p>
    <w:p w14:paraId="09A0D974" w14:textId="77777777" w:rsidR="00B1310D" w:rsidRPr="000D440A" w:rsidRDefault="00A45989">
      <w:pPr>
        <w:shd w:val="clear" w:color="auto" w:fill="FFFFFF"/>
        <w:spacing w:before="200" w:after="200" w:line="240" w:lineRule="auto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b/>
          <w:sz w:val="20"/>
          <w:szCs w:val="20"/>
        </w:rPr>
        <w:t>Management of type 2 diabetes</w:t>
      </w:r>
    </w:p>
    <w:p w14:paraId="7AC2F8ED" w14:textId="6D8A8FFB" w:rsidR="00B1310D" w:rsidRPr="000D440A" w:rsidRDefault="00645B06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Healthy life styles is the corner stone of the management. </w:t>
      </w:r>
      <w:r w:rsidR="00A45989" w:rsidRPr="000D440A">
        <w:rPr>
          <w:rFonts w:ascii="Times New Roman" w:eastAsia="Times New Roman" w:hAnsi="Times New Roman" w:cs="Times New Roman"/>
          <w:sz w:val="20"/>
          <w:szCs w:val="20"/>
        </w:rPr>
        <w:t xml:space="preserve">Metformin is the only oral drug approved for children </w:t>
      </w:r>
      <w:r w:rsidR="00A45989" w:rsidRPr="000D440A">
        <w:rPr>
          <w:rFonts w:ascii="Times New Roman" w:eastAsia="Times New Roman" w:hAnsi="Times New Roman" w:cs="Times New Roman"/>
          <w:sz w:val="20"/>
          <w:szCs w:val="20"/>
          <w:u w:val="single"/>
        </w:rPr>
        <w:t>&gt;</w:t>
      </w:r>
      <w:r w:rsidR="00A45989" w:rsidRPr="000D440A">
        <w:rPr>
          <w:rFonts w:ascii="Times New Roman" w:eastAsia="Times New Roman" w:hAnsi="Times New Roman" w:cs="Times New Roman"/>
          <w:sz w:val="20"/>
          <w:szCs w:val="20"/>
        </w:rPr>
        <w:t>10 year. Insulin can be started when diabetes is uncontrolled after lifestyle changes, metformin and or Hemoglobin A1c&gt;8%.</w:t>
      </w:r>
    </w:p>
    <w:p w14:paraId="24D4885F" w14:textId="77777777" w:rsidR="00B1310D" w:rsidRPr="000D440A" w:rsidRDefault="00A45989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b/>
          <w:sz w:val="20"/>
          <w:szCs w:val="20"/>
        </w:rPr>
        <w:t>Complications of type 2 Diabetes</w:t>
      </w:r>
    </w:p>
    <w:p w14:paraId="08806A20" w14:textId="77777777" w:rsidR="00B1310D" w:rsidRPr="000D440A" w:rsidRDefault="00A45989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>●Acute</w:t>
      </w:r>
    </w:p>
    <w:p w14:paraId="4173F749" w14:textId="77777777" w:rsidR="00B1310D" w:rsidRPr="000D440A" w:rsidRDefault="00A45989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       1-Non </w:t>
      </w:r>
      <w:proofErr w:type="spellStart"/>
      <w:r w:rsidRPr="000D440A">
        <w:rPr>
          <w:rFonts w:ascii="Times New Roman" w:eastAsia="Times New Roman" w:hAnsi="Times New Roman" w:cs="Times New Roman"/>
          <w:sz w:val="20"/>
          <w:szCs w:val="20"/>
        </w:rPr>
        <w:t>ketotic</w:t>
      </w:r>
      <w:proofErr w:type="spellEnd"/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 hyperosmolar state-</w:t>
      </w:r>
      <w:r w:rsidRPr="000D440A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characterized by glucose &gt;600 mg/dL, serum osmolality &gt;330 </w:t>
      </w:r>
      <w:proofErr w:type="spellStart"/>
      <w:r w:rsidRPr="000D440A">
        <w:rPr>
          <w:rFonts w:ascii="Times New Roman" w:eastAsia="Times New Roman" w:hAnsi="Times New Roman" w:cs="Times New Roman"/>
          <w:sz w:val="20"/>
          <w:szCs w:val="20"/>
          <w:highlight w:val="white"/>
        </w:rPr>
        <w:t>mOsm</w:t>
      </w:r>
      <w:proofErr w:type="spellEnd"/>
      <w:r w:rsidRPr="000D440A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/kg and severe dehydration, with little or no 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  <w:highlight w:val="white"/>
        </w:rPr>
        <w:t>ketonuria.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</w:rPr>
        <w:t xml:space="preserve"> Electrolyte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 abnormalities: pseudo-hyponatremia (secondary to blood glucose elevation), metabolic acidosis, elevated blood urea nitrogen and creatinine (secondary to dehydration).</w:t>
      </w:r>
    </w:p>
    <w:p w14:paraId="18E28510" w14:textId="77777777" w:rsidR="00B1310D" w:rsidRPr="000D440A" w:rsidRDefault="00A45989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>2- Diabetic ketoacidosis</w:t>
      </w:r>
    </w:p>
    <w:p w14:paraId="45176C9C" w14:textId="77777777" w:rsidR="00B1310D" w:rsidRPr="000D440A" w:rsidRDefault="00A45989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b/>
          <w:sz w:val="20"/>
          <w:szCs w:val="20"/>
        </w:rPr>
        <w:t xml:space="preserve">●Chronic </w:t>
      </w:r>
      <w:r w:rsidR="0046774B" w:rsidRPr="000D440A">
        <w:rPr>
          <w:rFonts w:ascii="Times New Roman" w:eastAsia="Times New Roman" w:hAnsi="Times New Roman" w:cs="Times New Roman"/>
          <w:b/>
          <w:sz w:val="20"/>
          <w:szCs w:val="20"/>
        </w:rPr>
        <w:t>complications can</w:t>
      </w:r>
      <w:r w:rsidRPr="000D440A">
        <w:rPr>
          <w:rFonts w:ascii="Times New Roman" w:eastAsia="Times New Roman" w:hAnsi="Times New Roman" w:cs="Times New Roman"/>
          <w:b/>
          <w:sz w:val="20"/>
          <w:szCs w:val="20"/>
        </w:rPr>
        <w:t xml:space="preserve"> be divided into microvascular and macrovascular</w:t>
      </w:r>
    </w:p>
    <w:p w14:paraId="2EAE868C" w14:textId="77777777" w:rsidR="00B1310D" w:rsidRPr="000D440A" w:rsidRDefault="00A45989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D440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Microvascular complications </w:t>
      </w:r>
    </w:p>
    <w:p w14:paraId="786C7595" w14:textId="77777777" w:rsidR="00B1310D" w:rsidRPr="000D440A" w:rsidRDefault="00A45989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-Nephropathy-start checking urine for microalbumin at the time of diagnosis 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</w:rPr>
        <w:t>and then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 yearly.</w:t>
      </w:r>
    </w:p>
    <w:p w14:paraId="73E7D554" w14:textId="77777777" w:rsidR="00B1310D" w:rsidRPr="000D440A" w:rsidRDefault="00A45989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-Retinopathy-dilated eye exam at the time of diagnosis 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</w:rPr>
        <w:t>and then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 yearly.</w:t>
      </w:r>
    </w:p>
    <w:p w14:paraId="1FEFEFA1" w14:textId="77777777" w:rsidR="00B1310D" w:rsidRPr="000D440A" w:rsidRDefault="00A45989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sz w:val="20"/>
          <w:szCs w:val="20"/>
        </w:rPr>
        <w:t>-Neuropathy-less common in comparison of nephropathy and retinopathy. Start screening at puberty with monofilament.</w:t>
      </w:r>
    </w:p>
    <w:p w14:paraId="52C8AD8F" w14:textId="77777777" w:rsidR="00B1310D" w:rsidRPr="000D440A" w:rsidRDefault="00A45989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0D440A">
        <w:rPr>
          <w:rFonts w:ascii="Times New Roman" w:eastAsia="Times New Roman" w:hAnsi="Times New Roman" w:cs="Times New Roman"/>
          <w:sz w:val="20"/>
          <w:szCs w:val="20"/>
          <w:u w:val="single"/>
        </w:rPr>
        <w:t>Macrovascular complications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D440A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Hypertension and dyslipidemia starting in teenage years 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  <w:highlight w:val="white"/>
        </w:rPr>
        <w:t>can contribute</w:t>
      </w:r>
      <w:r w:rsidRPr="000D440A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to the increased risk of heart disease and peripheral vascular disease in adults. </w:t>
      </w:r>
    </w:p>
    <w:p w14:paraId="77B71805" w14:textId="77777777" w:rsidR="00B1310D" w:rsidRPr="000D440A" w:rsidRDefault="00A45989">
      <w:pPr>
        <w:shd w:val="clear" w:color="auto" w:fill="FFFFFF"/>
        <w:spacing w:before="200" w:after="200" w:line="240" w:lineRule="auto"/>
        <w:ind w:left="44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0D440A">
        <w:rPr>
          <w:rFonts w:ascii="Times New Roman" w:eastAsia="Times New Roman" w:hAnsi="Times New Roman" w:cs="Times New Roman"/>
          <w:b/>
          <w:sz w:val="20"/>
          <w:szCs w:val="20"/>
        </w:rPr>
        <w:t>Comorbidities -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>1-Hypertension 2-High lipid levels 3-</w:t>
      </w:r>
      <w:r w:rsidR="0046774B" w:rsidRPr="000D440A">
        <w:rPr>
          <w:rFonts w:ascii="Times New Roman" w:eastAsia="Times New Roman" w:hAnsi="Times New Roman" w:cs="Times New Roman"/>
          <w:sz w:val="20"/>
          <w:szCs w:val="20"/>
        </w:rPr>
        <w:t>Nonalcoholic</w:t>
      </w:r>
      <w:r w:rsidRPr="000D440A">
        <w:rPr>
          <w:rFonts w:ascii="Times New Roman" w:eastAsia="Times New Roman" w:hAnsi="Times New Roman" w:cs="Times New Roman"/>
          <w:sz w:val="20"/>
          <w:szCs w:val="20"/>
        </w:rPr>
        <w:t xml:space="preserve"> fatty liver disease</w:t>
      </w:r>
    </w:p>
    <w:p w14:paraId="6E706144" w14:textId="77777777" w:rsidR="00B1310D" w:rsidRPr="000D440A" w:rsidRDefault="00B1310D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68506EE1" w14:textId="77777777" w:rsidR="00B1310D" w:rsidRPr="000D440A" w:rsidRDefault="00B1310D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0BA8D45" w14:textId="77777777" w:rsidR="00B1310D" w:rsidRPr="000D440A" w:rsidRDefault="00B1310D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sectPr w:rsidR="00B1310D" w:rsidRPr="000D4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776C9" w14:textId="77777777" w:rsidR="00C2754F" w:rsidRDefault="00C2754F" w:rsidP="00C2754F">
      <w:pPr>
        <w:spacing w:line="240" w:lineRule="auto"/>
      </w:pPr>
      <w:r>
        <w:separator/>
      </w:r>
    </w:p>
  </w:endnote>
  <w:endnote w:type="continuationSeparator" w:id="0">
    <w:p w14:paraId="3E50F772" w14:textId="77777777" w:rsidR="00C2754F" w:rsidRDefault="00C2754F" w:rsidP="00C27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A1592" w14:textId="77777777" w:rsidR="00C2754F" w:rsidRDefault="00C27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B974" w14:textId="5C1EBA49" w:rsidR="00DF5A16" w:rsidRDefault="00DF5A16" w:rsidP="00DF5A16">
    <w:pPr>
      <w:pStyle w:val="Footer"/>
    </w:pPr>
    <w:r>
      <w:t>Kanika Shanker, 2019: PES Education Committee</w:t>
    </w:r>
  </w:p>
  <w:p w14:paraId="691E0232" w14:textId="750825FA" w:rsidR="00DF5A16" w:rsidRDefault="00DF5A16">
    <w:pPr>
      <w:pStyle w:val="Footer"/>
    </w:pPr>
  </w:p>
  <w:p w14:paraId="4A29DEEF" w14:textId="77777777" w:rsidR="00C2754F" w:rsidRDefault="00C27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BBCE1" w14:textId="77777777" w:rsidR="00C2754F" w:rsidRDefault="00C27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D2109" w14:textId="77777777" w:rsidR="00C2754F" w:rsidRDefault="00C2754F" w:rsidP="00C2754F">
      <w:pPr>
        <w:spacing w:line="240" w:lineRule="auto"/>
      </w:pPr>
      <w:r>
        <w:separator/>
      </w:r>
    </w:p>
  </w:footnote>
  <w:footnote w:type="continuationSeparator" w:id="0">
    <w:p w14:paraId="54899B93" w14:textId="77777777" w:rsidR="00C2754F" w:rsidRDefault="00C2754F" w:rsidP="00C275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836B5" w14:textId="77777777" w:rsidR="00C2754F" w:rsidRDefault="00C27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91D1" w14:textId="03C9EE94" w:rsidR="00C2754F" w:rsidRDefault="00C2754F">
    <w:pPr>
      <w:pStyle w:val="Header"/>
    </w:pPr>
  </w:p>
  <w:p w14:paraId="3E184654" w14:textId="229678B9" w:rsidR="00C2754F" w:rsidRDefault="00C2754F" w:rsidP="00C2754F">
    <w:pPr>
      <w:pStyle w:val="Header"/>
      <w:jc w:val="right"/>
    </w:pPr>
    <w:r>
      <w:rPr>
        <w:noProof/>
        <w:lang w:val="en-US"/>
      </w:rPr>
      <w:drawing>
        <wp:inline distT="0" distB="0" distL="0" distR="0" wp14:anchorId="01A22043" wp14:editId="43BC4FA7">
          <wp:extent cx="1176020" cy="844550"/>
          <wp:effectExtent l="0" t="0" r="5080" b="0"/>
          <wp:docPr id="2" name="Picture 2" descr="P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0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586F0" w14:textId="77777777" w:rsidR="00C2754F" w:rsidRDefault="00C27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A1MzQ2MzEAAiUdpeDU4uLM/DyQAqNaAM30KNcsAAAA"/>
  </w:docVars>
  <w:rsids>
    <w:rsidRoot w:val="00B1310D"/>
    <w:rsid w:val="000D440A"/>
    <w:rsid w:val="0046774B"/>
    <w:rsid w:val="00645B06"/>
    <w:rsid w:val="006A59EB"/>
    <w:rsid w:val="00880C8F"/>
    <w:rsid w:val="00A45989"/>
    <w:rsid w:val="00B010DE"/>
    <w:rsid w:val="00B1310D"/>
    <w:rsid w:val="00C2754F"/>
    <w:rsid w:val="00DD339D"/>
    <w:rsid w:val="00DF5A16"/>
    <w:rsid w:val="00E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5DDBA"/>
  <w15:docId w15:val="{9D1ACD82-070D-4472-9C2B-843D622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1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0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0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75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4F"/>
  </w:style>
  <w:style w:type="paragraph" w:styleId="Footer">
    <w:name w:val="footer"/>
    <w:basedOn w:val="Normal"/>
    <w:link w:val="FooterChar"/>
    <w:uiPriority w:val="99"/>
    <w:unhideWhenUsed/>
    <w:rsid w:val="00C275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Kanika Shanker</dc:creator>
  <cp:lastModifiedBy>Roberts, Alissa</cp:lastModifiedBy>
  <cp:revision>5</cp:revision>
  <dcterms:created xsi:type="dcterms:W3CDTF">2019-05-07T01:49:00Z</dcterms:created>
  <dcterms:modified xsi:type="dcterms:W3CDTF">2020-09-22T21:46:00Z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2020-09-22T21:46:47Z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ab2e14db-b335-4f8f-872a-6d701e1e010d</vt:lpwstr>
  </property>
  <property fmtid="{D5CDD505-2E9C-101B-9397-08002B2CF9AE}" pid="8" name="MSIP_Label_046da4d3-ba20-4986-879c-49e262eff745_ContentBits">
    <vt:lpwstr>0</vt:lpwstr>
  </property>
</Properties>
</file>