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E5F954D" w14:textId="77777777" w:rsidR="00A167F4" w:rsidRDefault="00A167F4">
      <w:pPr>
        <w:pStyle w:val="Body"/>
      </w:pPr>
    </w:p>
    <w:tbl>
      <w:tblPr>
        <w:tblW w:w="12948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2312"/>
        <w:gridCol w:w="3522"/>
        <w:gridCol w:w="3597"/>
        <w:gridCol w:w="3517"/>
      </w:tblGrid>
      <w:tr w:rsidR="00A167F4" w14:paraId="47811503" w14:textId="77777777" w:rsidTr="0071162E">
        <w:trPr>
          <w:trHeight w:val="651"/>
        </w:trPr>
        <w:tc>
          <w:tcPr>
            <w:tcW w:w="23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3EF6618" w14:textId="77777777" w:rsidR="00A167F4" w:rsidRDefault="00A167F4"/>
        </w:tc>
        <w:tc>
          <w:tcPr>
            <w:tcW w:w="35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05F6118" w14:textId="047AE70A" w:rsidR="003068BB" w:rsidRDefault="005B33E8">
            <w:pPr>
              <w:pStyle w:val="Body"/>
              <w:widowControl w:val="0"/>
              <w:spacing w:line="240" w:lineRule="auto"/>
              <w:jc w:val="center"/>
              <w:rPr>
                <w:rFonts w:cs="Arial"/>
                <w:b/>
                <w:bCs/>
                <w:sz w:val="28"/>
                <w:szCs w:val="28"/>
              </w:rPr>
            </w:pPr>
            <w:proofErr w:type="spellStart"/>
            <w:r>
              <w:rPr>
                <w:b/>
                <w:bCs/>
                <w:sz w:val="28"/>
                <w:szCs w:val="28"/>
              </w:rPr>
              <w:t>Skytrofa</w:t>
            </w:r>
            <w:proofErr w:type="spellEnd"/>
            <w:r w:rsidR="003068BB">
              <w:rPr>
                <w:rFonts w:cs="Arial"/>
                <w:b/>
                <w:bCs/>
                <w:sz w:val="28"/>
                <w:szCs w:val="28"/>
              </w:rPr>
              <w:t>®</w:t>
            </w:r>
          </w:p>
          <w:p w14:paraId="69C81CBB" w14:textId="26B59D47" w:rsidR="00A167F4" w:rsidRDefault="005B33E8">
            <w:pPr>
              <w:pStyle w:val="Body"/>
              <w:widowControl w:val="0"/>
              <w:spacing w:line="240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(</w:t>
            </w:r>
            <w:proofErr w:type="spellStart"/>
            <w:r>
              <w:rPr>
                <w:b/>
                <w:bCs/>
                <w:sz w:val="28"/>
                <w:szCs w:val="28"/>
              </w:rPr>
              <w:t>Lonapegsomatropin</w:t>
            </w:r>
            <w:proofErr w:type="spellEnd"/>
            <w:r>
              <w:rPr>
                <w:b/>
                <w:bCs/>
                <w:sz w:val="28"/>
                <w:szCs w:val="28"/>
              </w:rPr>
              <w:t>)</w:t>
            </w:r>
          </w:p>
          <w:p w14:paraId="322C6642" w14:textId="4525C659" w:rsidR="003068BB" w:rsidRPr="003068BB" w:rsidRDefault="003068BB" w:rsidP="003068BB">
            <w:pPr>
              <w:pStyle w:val="Body"/>
              <w:widowControl w:val="0"/>
              <w:spacing w:line="240" w:lineRule="auto"/>
              <w:jc w:val="center"/>
              <w:rPr>
                <w:i/>
                <w:sz w:val="24"/>
                <w:szCs w:val="24"/>
              </w:rPr>
            </w:pPr>
            <w:proofErr w:type="spellStart"/>
            <w:r w:rsidRPr="003068BB">
              <w:rPr>
                <w:b/>
                <w:bCs/>
                <w:i/>
                <w:sz w:val="24"/>
                <w:szCs w:val="24"/>
              </w:rPr>
              <w:t>Ascendis</w:t>
            </w:r>
            <w:proofErr w:type="spellEnd"/>
          </w:p>
        </w:tc>
        <w:tc>
          <w:tcPr>
            <w:tcW w:w="35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C5BCD03" w14:textId="79FE267F" w:rsidR="00A167F4" w:rsidRDefault="005B33E8">
            <w:pPr>
              <w:pStyle w:val="Body"/>
              <w:widowControl w:val="0"/>
              <w:spacing w:line="240" w:lineRule="auto"/>
              <w:jc w:val="center"/>
              <w:rPr>
                <w:b/>
                <w:bCs/>
                <w:sz w:val="28"/>
                <w:szCs w:val="28"/>
              </w:rPr>
            </w:pPr>
            <w:proofErr w:type="spellStart"/>
            <w:r>
              <w:rPr>
                <w:b/>
                <w:bCs/>
                <w:sz w:val="28"/>
                <w:szCs w:val="28"/>
              </w:rPr>
              <w:t>Sogroya</w:t>
            </w:r>
            <w:proofErr w:type="spellEnd"/>
            <w:r w:rsidR="003068BB">
              <w:rPr>
                <w:rFonts w:cs="Arial"/>
                <w:b/>
                <w:bCs/>
                <w:sz w:val="28"/>
                <w:szCs w:val="28"/>
              </w:rPr>
              <w:t>®</w:t>
            </w:r>
          </w:p>
          <w:p w14:paraId="19F30A34" w14:textId="77777777" w:rsidR="00A167F4" w:rsidRDefault="005B33E8">
            <w:pPr>
              <w:pStyle w:val="Body"/>
              <w:widowControl w:val="0"/>
              <w:spacing w:line="240" w:lineRule="auto"/>
              <w:jc w:val="center"/>
              <w:rPr>
                <w:b/>
                <w:bCs/>
                <w:sz w:val="28"/>
                <w:szCs w:val="28"/>
                <w:shd w:val="clear" w:color="auto" w:fill="FFFFFF"/>
              </w:rPr>
            </w:pPr>
            <w:r>
              <w:rPr>
                <w:b/>
                <w:bCs/>
                <w:sz w:val="28"/>
                <w:szCs w:val="28"/>
              </w:rPr>
              <w:t>(</w:t>
            </w:r>
            <w:proofErr w:type="spellStart"/>
            <w:r>
              <w:rPr>
                <w:b/>
                <w:bCs/>
                <w:sz w:val="28"/>
                <w:szCs w:val="28"/>
                <w:shd w:val="clear" w:color="auto" w:fill="FFFFFF"/>
              </w:rPr>
              <w:t>somapacitan-beco</w:t>
            </w:r>
            <w:proofErr w:type="spellEnd"/>
            <w:r>
              <w:rPr>
                <w:b/>
                <w:bCs/>
                <w:sz w:val="28"/>
                <w:szCs w:val="28"/>
                <w:shd w:val="clear" w:color="auto" w:fill="FFFFFF"/>
              </w:rPr>
              <w:t>)</w:t>
            </w:r>
          </w:p>
          <w:p w14:paraId="18D4E088" w14:textId="716AA945" w:rsidR="003068BB" w:rsidRPr="003068BB" w:rsidRDefault="003068BB">
            <w:pPr>
              <w:pStyle w:val="Body"/>
              <w:widowControl w:val="0"/>
              <w:spacing w:line="240" w:lineRule="auto"/>
              <w:jc w:val="center"/>
              <w:rPr>
                <w:i/>
                <w:sz w:val="24"/>
                <w:szCs w:val="24"/>
              </w:rPr>
            </w:pPr>
            <w:r w:rsidRPr="003068BB">
              <w:rPr>
                <w:b/>
                <w:bCs/>
                <w:i/>
                <w:sz w:val="24"/>
                <w:szCs w:val="24"/>
                <w:shd w:val="clear" w:color="auto" w:fill="FFFFFF"/>
              </w:rPr>
              <w:t>Novo Nordisk</w:t>
            </w:r>
          </w:p>
        </w:tc>
        <w:tc>
          <w:tcPr>
            <w:tcW w:w="35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9B67F5F" w14:textId="2617DB5C" w:rsidR="00A167F4" w:rsidRDefault="005B33E8">
            <w:pPr>
              <w:pStyle w:val="Body"/>
              <w:widowControl w:val="0"/>
              <w:spacing w:line="240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NGENLA</w:t>
            </w:r>
            <w:r w:rsidR="003068BB">
              <w:rPr>
                <w:rFonts w:cs="Arial"/>
                <w:b/>
                <w:bCs/>
                <w:sz w:val="28"/>
                <w:szCs w:val="28"/>
              </w:rPr>
              <w:t>™</w:t>
            </w:r>
          </w:p>
          <w:p w14:paraId="7533003F" w14:textId="77777777" w:rsidR="00A167F4" w:rsidRDefault="005B33E8">
            <w:pPr>
              <w:pStyle w:val="Body"/>
              <w:widowControl w:val="0"/>
              <w:spacing w:line="240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(</w:t>
            </w:r>
            <w:proofErr w:type="spellStart"/>
            <w:r>
              <w:rPr>
                <w:b/>
                <w:bCs/>
                <w:sz w:val="28"/>
                <w:szCs w:val="28"/>
              </w:rPr>
              <w:t>somatrogon-ghla</w:t>
            </w:r>
            <w:proofErr w:type="spellEnd"/>
            <w:r>
              <w:rPr>
                <w:b/>
                <w:bCs/>
                <w:sz w:val="28"/>
                <w:szCs w:val="28"/>
              </w:rPr>
              <w:t>)</w:t>
            </w:r>
          </w:p>
          <w:p w14:paraId="294141AB" w14:textId="5D1ECF96" w:rsidR="003068BB" w:rsidRPr="003068BB" w:rsidRDefault="003068BB">
            <w:pPr>
              <w:pStyle w:val="Body"/>
              <w:widowControl w:val="0"/>
              <w:spacing w:line="240" w:lineRule="auto"/>
              <w:jc w:val="center"/>
              <w:rPr>
                <w:i/>
                <w:sz w:val="24"/>
                <w:szCs w:val="24"/>
              </w:rPr>
            </w:pPr>
            <w:r w:rsidRPr="003068BB">
              <w:rPr>
                <w:b/>
                <w:bCs/>
                <w:i/>
                <w:sz w:val="24"/>
                <w:szCs w:val="24"/>
              </w:rPr>
              <w:t>Pfizer</w:t>
            </w:r>
          </w:p>
        </w:tc>
      </w:tr>
      <w:tr w:rsidR="00A167F4" w14:paraId="138C132F" w14:textId="77777777" w:rsidTr="0071162E">
        <w:trPr>
          <w:trHeight w:val="292"/>
        </w:trPr>
        <w:tc>
          <w:tcPr>
            <w:tcW w:w="23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E0FF067" w14:textId="77777777" w:rsidR="00A167F4" w:rsidRDefault="005B33E8">
            <w:pPr>
              <w:pStyle w:val="Body"/>
              <w:widowControl w:val="0"/>
              <w:spacing w:line="240" w:lineRule="auto"/>
            </w:pPr>
            <w:r>
              <w:rPr>
                <w:b/>
                <w:bCs/>
                <w:sz w:val="24"/>
                <w:szCs w:val="24"/>
              </w:rPr>
              <w:t>FDA approval date</w:t>
            </w:r>
          </w:p>
        </w:tc>
        <w:tc>
          <w:tcPr>
            <w:tcW w:w="35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48670DE" w14:textId="77777777" w:rsidR="00A167F4" w:rsidRPr="005B33E8" w:rsidRDefault="005B33E8">
            <w:pPr>
              <w:pStyle w:val="Body"/>
              <w:widowControl w:val="0"/>
              <w:spacing w:line="240" w:lineRule="auto"/>
            </w:pPr>
            <w:r w:rsidRPr="002C08B5">
              <w:rPr>
                <w:color w:val="1F1F1F"/>
                <w:u w:color="1F1F1F"/>
                <w:shd w:val="clear" w:color="auto" w:fill="FFFFFF"/>
              </w:rPr>
              <w:t>August 2021</w:t>
            </w:r>
          </w:p>
        </w:tc>
        <w:tc>
          <w:tcPr>
            <w:tcW w:w="35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4A4B922" w14:textId="77777777" w:rsidR="00A167F4" w:rsidRDefault="005B33E8">
            <w:pPr>
              <w:pStyle w:val="Body"/>
              <w:widowControl w:val="0"/>
              <w:spacing w:line="240" w:lineRule="auto"/>
            </w:pPr>
            <w:r>
              <w:t>April 2023</w:t>
            </w:r>
          </w:p>
        </w:tc>
        <w:tc>
          <w:tcPr>
            <w:tcW w:w="35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E5F27F1" w14:textId="77777777" w:rsidR="00A167F4" w:rsidRDefault="005B33E8">
            <w:pPr>
              <w:pStyle w:val="Body"/>
              <w:widowControl w:val="0"/>
              <w:spacing w:line="240" w:lineRule="auto"/>
            </w:pPr>
            <w:r>
              <w:t>June 2023</w:t>
            </w:r>
          </w:p>
        </w:tc>
      </w:tr>
      <w:tr w:rsidR="00A167F4" w14:paraId="6B8BE50F" w14:textId="77777777" w:rsidTr="0071162E">
        <w:trPr>
          <w:trHeight w:val="733"/>
        </w:trPr>
        <w:tc>
          <w:tcPr>
            <w:tcW w:w="23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FC8A240" w14:textId="77777777" w:rsidR="00A167F4" w:rsidRDefault="005B33E8">
            <w:pPr>
              <w:pStyle w:val="Body"/>
              <w:widowControl w:val="0"/>
              <w:spacing w:line="240" w:lineRule="auto"/>
            </w:pPr>
            <w:r>
              <w:rPr>
                <w:b/>
                <w:bCs/>
                <w:sz w:val="24"/>
                <w:szCs w:val="24"/>
              </w:rPr>
              <w:t>Indication</w:t>
            </w:r>
          </w:p>
        </w:tc>
        <w:tc>
          <w:tcPr>
            <w:tcW w:w="35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F056996" w14:textId="152A90B1" w:rsidR="00A167F4" w:rsidRDefault="005B33E8">
            <w:pPr>
              <w:pStyle w:val="Body"/>
              <w:widowControl w:val="0"/>
              <w:spacing w:line="240" w:lineRule="auto"/>
            </w:pPr>
            <w:r>
              <w:rPr>
                <w:color w:val="1F1F1F"/>
                <w:u w:color="1F1F1F"/>
                <w:shd w:val="clear" w:color="auto" w:fill="FFFFFF"/>
              </w:rPr>
              <w:t>GHD ≥ 1 yr of age, ≥ 11.5 kg</w:t>
            </w:r>
            <w:r>
              <w:rPr>
                <w:color w:val="1F1F1F"/>
                <w:u w:color="1F1F1F"/>
              </w:rPr>
              <w:t xml:space="preserve"> (25 </w:t>
            </w:r>
            <w:proofErr w:type="spellStart"/>
            <w:r>
              <w:rPr>
                <w:color w:val="1F1F1F"/>
                <w:u w:color="1F1F1F"/>
              </w:rPr>
              <w:t>lb</w:t>
            </w:r>
            <w:proofErr w:type="spellEnd"/>
            <w:r>
              <w:rPr>
                <w:color w:val="1F1F1F"/>
                <w:u w:color="1F1F1F"/>
              </w:rPr>
              <w:t xml:space="preserve">) </w:t>
            </w:r>
          </w:p>
          <w:p w14:paraId="1DB06E8B" w14:textId="77777777" w:rsidR="00A167F4" w:rsidRDefault="005B33E8">
            <w:pPr>
              <w:pStyle w:val="Body"/>
              <w:widowControl w:val="0"/>
              <w:spacing w:line="240" w:lineRule="auto"/>
            </w:pPr>
            <w:r>
              <w:rPr>
                <w:color w:val="1F1F1F"/>
                <w:u w:color="1F1F1F"/>
              </w:rPr>
              <w:t xml:space="preserve"> </w:t>
            </w:r>
          </w:p>
        </w:tc>
        <w:tc>
          <w:tcPr>
            <w:tcW w:w="35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48D962D" w14:textId="77777777" w:rsidR="00A167F4" w:rsidRDefault="005B33E8">
            <w:pPr>
              <w:pStyle w:val="Body"/>
            </w:pPr>
            <w:r>
              <w:rPr>
                <w:color w:val="1F1F1F"/>
                <w:u w:color="1F1F1F"/>
                <w:shd w:val="clear" w:color="auto" w:fill="FFFFFF"/>
              </w:rPr>
              <w:t>GHD ≥ 2.5 yrs of age</w:t>
            </w:r>
          </w:p>
        </w:tc>
        <w:tc>
          <w:tcPr>
            <w:tcW w:w="35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6C7015C" w14:textId="77777777" w:rsidR="00A167F4" w:rsidRDefault="005B33E8">
            <w:pPr>
              <w:pStyle w:val="Body"/>
            </w:pPr>
            <w:r>
              <w:rPr>
                <w:color w:val="1F1F1F"/>
                <w:u w:color="1F1F1F"/>
                <w:shd w:val="clear" w:color="auto" w:fill="FFFFFF"/>
              </w:rPr>
              <w:t>GHD ≥ 3 yrs of age</w:t>
            </w:r>
          </w:p>
        </w:tc>
      </w:tr>
      <w:tr w:rsidR="00A167F4" w14:paraId="0BD11D1D" w14:textId="77777777" w:rsidTr="0071162E">
        <w:trPr>
          <w:trHeight w:val="4141"/>
        </w:trPr>
        <w:tc>
          <w:tcPr>
            <w:tcW w:w="23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0DF6AF4" w14:textId="77777777" w:rsidR="00A167F4" w:rsidRDefault="005B33E8">
            <w:pPr>
              <w:pStyle w:val="Body"/>
              <w:widowControl w:val="0"/>
              <w:spacing w:line="240" w:lineRule="auto"/>
            </w:pPr>
            <w:r>
              <w:rPr>
                <w:b/>
                <w:bCs/>
                <w:sz w:val="24"/>
                <w:szCs w:val="24"/>
              </w:rPr>
              <w:t>Device</w:t>
            </w:r>
          </w:p>
        </w:tc>
        <w:tc>
          <w:tcPr>
            <w:tcW w:w="35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17123E" w14:textId="77777777" w:rsidR="00A167F4" w:rsidRDefault="005B33E8">
            <w:pPr>
              <w:pStyle w:val="Body"/>
              <w:widowControl w:val="0"/>
              <w:spacing w:line="240" w:lineRule="auto"/>
            </w:pPr>
            <w:r>
              <w:t>Single-dose, dual-chamber, prefilled cartridges, delivered via an auto-injecto</w:t>
            </w:r>
            <w:bookmarkStart w:id="0" w:name="_GoBack"/>
            <w:bookmarkEnd w:id="0"/>
            <w:r>
              <w:t xml:space="preserve">r. </w:t>
            </w:r>
          </w:p>
          <w:p w14:paraId="7E23BB3F" w14:textId="77777777" w:rsidR="00A167F4" w:rsidRDefault="00A167F4">
            <w:pPr>
              <w:pStyle w:val="Body"/>
              <w:widowControl w:val="0"/>
              <w:spacing w:line="240" w:lineRule="auto"/>
            </w:pPr>
          </w:p>
          <w:p w14:paraId="3BD36137" w14:textId="77777777" w:rsidR="00A167F4" w:rsidRDefault="005B33E8">
            <w:pPr>
              <w:pStyle w:val="Body"/>
              <w:widowControl w:val="0"/>
              <w:spacing w:line="240" w:lineRule="auto"/>
            </w:pPr>
            <w:r>
              <w:t>Cartridge sizes:</w:t>
            </w:r>
          </w:p>
          <w:p w14:paraId="3745423D" w14:textId="77777777" w:rsidR="00A167F4" w:rsidRDefault="005B33E8">
            <w:pPr>
              <w:pStyle w:val="Body"/>
              <w:widowControl w:val="0"/>
              <w:spacing w:line="240" w:lineRule="auto"/>
            </w:pPr>
            <w:r>
              <w:t>3 mg, 3.6 mg, 4.3 mg, 5.2 mg, 6.3 mg, 7.6 mg, 9.1 mg, 11 mg, 13.3 mg</w:t>
            </w:r>
          </w:p>
          <w:p w14:paraId="770AEE08" w14:textId="77777777" w:rsidR="00A167F4" w:rsidRDefault="00A167F4">
            <w:pPr>
              <w:pStyle w:val="Body"/>
              <w:widowControl w:val="0"/>
              <w:spacing w:line="240" w:lineRule="auto"/>
            </w:pPr>
          </w:p>
          <w:p w14:paraId="795A9ADE" w14:textId="77777777" w:rsidR="00A167F4" w:rsidRDefault="005B33E8">
            <w:pPr>
              <w:pStyle w:val="Body"/>
              <w:widowControl w:val="0"/>
              <w:spacing w:line="240" w:lineRule="auto"/>
            </w:pPr>
            <w:r>
              <w:t>Contains a powder and diluent in a dual chamber, requires reconstitution by the auto-injector. Once mixed, use within 4 hours, stable at room temperature.</w:t>
            </w:r>
          </w:p>
        </w:tc>
        <w:tc>
          <w:tcPr>
            <w:tcW w:w="35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3F4417E" w14:textId="77777777" w:rsidR="00A167F4" w:rsidRDefault="005B33E8">
            <w:pPr>
              <w:pStyle w:val="Body"/>
              <w:widowControl w:val="0"/>
              <w:spacing w:line="240" w:lineRule="auto"/>
            </w:pPr>
            <w:r>
              <w:t>Flex Pro prefilled, disposable, multi-dose injection pen:</w:t>
            </w:r>
          </w:p>
          <w:p w14:paraId="6C814893" w14:textId="77777777" w:rsidR="00A167F4" w:rsidRDefault="005B33E8">
            <w:pPr>
              <w:pStyle w:val="Body"/>
              <w:widowControl w:val="0"/>
              <w:numPr>
                <w:ilvl w:val="0"/>
                <w:numId w:val="1"/>
              </w:numPr>
              <w:spacing w:line="240" w:lineRule="auto"/>
            </w:pPr>
            <w:r>
              <w:t>5 mg pen (0.025 mg dosing increments, 0.025 to 2 mg dose delivery range)</w:t>
            </w:r>
          </w:p>
          <w:p w14:paraId="36CA2C62" w14:textId="77777777" w:rsidR="00A167F4" w:rsidRDefault="005B33E8">
            <w:pPr>
              <w:pStyle w:val="Body"/>
              <w:widowControl w:val="0"/>
              <w:numPr>
                <w:ilvl w:val="0"/>
                <w:numId w:val="1"/>
              </w:numPr>
              <w:spacing w:line="240" w:lineRule="auto"/>
            </w:pPr>
            <w:r>
              <w:t xml:space="preserve">10 mg pen (0.05 mg dosing increments, 0.05 to 4 mg dose delivery range) </w:t>
            </w:r>
          </w:p>
          <w:p w14:paraId="0515848C" w14:textId="77777777" w:rsidR="00A167F4" w:rsidRDefault="005B33E8">
            <w:pPr>
              <w:pStyle w:val="Body"/>
              <w:widowControl w:val="0"/>
              <w:numPr>
                <w:ilvl w:val="0"/>
                <w:numId w:val="1"/>
              </w:numPr>
              <w:spacing w:line="240" w:lineRule="auto"/>
            </w:pPr>
            <w:r>
              <w:t xml:space="preserve">15 mg pen (0.1 mg dosing increments, 0.1 to 8 mg dose delivery range). </w:t>
            </w:r>
          </w:p>
          <w:p w14:paraId="258A9347" w14:textId="77777777" w:rsidR="00A167F4" w:rsidRDefault="00A167F4">
            <w:pPr>
              <w:pStyle w:val="Body"/>
              <w:widowControl w:val="0"/>
              <w:spacing w:line="240" w:lineRule="auto"/>
            </w:pPr>
          </w:p>
          <w:p w14:paraId="5040C8E8" w14:textId="77777777" w:rsidR="00A167F4" w:rsidRDefault="005B33E8">
            <w:pPr>
              <w:pStyle w:val="Body"/>
              <w:widowControl w:val="0"/>
              <w:spacing w:line="240" w:lineRule="auto"/>
            </w:pPr>
            <w:r>
              <w:t>Does not require reconstitution and is stable at room temperature for 72 hours.</w:t>
            </w:r>
          </w:p>
        </w:tc>
        <w:tc>
          <w:tcPr>
            <w:tcW w:w="35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0685C5F" w14:textId="77777777" w:rsidR="00A167F4" w:rsidRDefault="005B33E8">
            <w:pPr>
              <w:pStyle w:val="Body"/>
              <w:widowControl w:val="0"/>
              <w:spacing w:line="240" w:lineRule="auto"/>
            </w:pPr>
            <w:r>
              <w:t>Prefilled, disposable, multi-dose injection pen:</w:t>
            </w:r>
          </w:p>
          <w:p w14:paraId="1EAC9E87" w14:textId="77777777" w:rsidR="00A167F4" w:rsidRDefault="005B33E8">
            <w:pPr>
              <w:pStyle w:val="Body"/>
              <w:widowControl w:val="0"/>
              <w:numPr>
                <w:ilvl w:val="0"/>
                <w:numId w:val="2"/>
              </w:numPr>
              <w:spacing w:line="240" w:lineRule="auto"/>
            </w:pPr>
            <w:r>
              <w:t>24 mg pen (0.2 mg dosing increments, 0.2 to 12 mg delivery range)</w:t>
            </w:r>
          </w:p>
          <w:p w14:paraId="5F4A57BD" w14:textId="77777777" w:rsidR="00A167F4" w:rsidRDefault="005B33E8">
            <w:pPr>
              <w:pStyle w:val="Body"/>
              <w:widowControl w:val="0"/>
              <w:spacing w:line="240" w:lineRule="auto"/>
            </w:pPr>
            <w:r>
              <w:t xml:space="preserve">Recommended for children </w:t>
            </w:r>
            <w:r>
              <w:rPr>
                <w:color w:val="474747"/>
                <w:sz w:val="24"/>
                <w:szCs w:val="24"/>
                <w:u w:color="474747"/>
                <w:shd w:val="clear" w:color="auto" w:fill="FFFFFF"/>
              </w:rPr>
              <w:t xml:space="preserve">&lt; </w:t>
            </w:r>
            <w:r>
              <w:t xml:space="preserve">40 pounds and require </w:t>
            </w:r>
            <w:r>
              <w:rPr>
                <w:color w:val="474747"/>
                <w:sz w:val="24"/>
                <w:szCs w:val="24"/>
                <w:u w:color="474747"/>
                <w:shd w:val="clear" w:color="auto" w:fill="FFFFFF"/>
              </w:rPr>
              <w:t>&lt; 1</w:t>
            </w:r>
            <w:r>
              <w:t>2 mg/</w:t>
            </w:r>
            <w:proofErr w:type="spellStart"/>
            <w:r>
              <w:t>wk</w:t>
            </w:r>
            <w:proofErr w:type="spellEnd"/>
          </w:p>
          <w:p w14:paraId="4214DE6D" w14:textId="77777777" w:rsidR="00A167F4" w:rsidRDefault="00A167F4">
            <w:pPr>
              <w:pStyle w:val="Body"/>
              <w:widowControl w:val="0"/>
              <w:spacing w:line="240" w:lineRule="auto"/>
            </w:pPr>
          </w:p>
          <w:p w14:paraId="35A5E399" w14:textId="77777777" w:rsidR="00A167F4" w:rsidRDefault="005B33E8">
            <w:pPr>
              <w:pStyle w:val="Body"/>
              <w:widowControl w:val="0"/>
              <w:numPr>
                <w:ilvl w:val="0"/>
                <w:numId w:val="3"/>
              </w:numPr>
              <w:spacing w:line="240" w:lineRule="auto"/>
            </w:pPr>
            <w:r>
              <w:t>60 mg pen (0.5 mg dosing increments, 0.5 to 30 mg dosing range)</w:t>
            </w:r>
          </w:p>
          <w:p w14:paraId="381942EB" w14:textId="77777777" w:rsidR="00A167F4" w:rsidRDefault="00A167F4">
            <w:pPr>
              <w:pStyle w:val="Body"/>
              <w:widowControl w:val="0"/>
              <w:spacing w:line="240" w:lineRule="auto"/>
            </w:pPr>
          </w:p>
          <w:p w14:paraId="3C28FF26" w14:textId="77777777" w:rsidR="00A167F4" w:rsidRDefault="005B33E8">
            <w:pPr>
              <w:pStyle w:val="Body"/>
              <w:widowControl w:val="0"/>
              <w:spacing w:line="240" w:lineRule="auto"/>
            </w:pPr>
            <w:r>
              <w:t>Does not require reconstitution, must be refrigerated after 30 minute</w:t>
            </w:r>
          </w:p>
        </w:tc>
      </w:tr>
      <w:tr w:rsidR="00A167F4" w14:paraId="0334527F" w14:textId="77777777" w:rsidTr="0071162E">
        <w:trPr>
          <w:trHeight w:val="3590"/>
        </w:trPr>
        <w:tc>
          <w:tcPr>
            <w:tcW w:w="23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0569FDF" w14:textId="77777777" w:rsidR="00A167F4" w:rsidRDefault="005B33E8">
            <w:pPr>
              <w:widowControl w:val="0"/>
            </w:pPr>
            <w:r>
              <w:rPr>
                <w:rFonts w:ascii="Arial" w:hAnsi="Arial" w:cs="Arial Unicode MS"/>
                <w:b/>
                <w:bCs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lastRenderedPageBreak/>
              <w:t>Composition and Mechanism of action</w:t>
            </w:r>
          </w:p>
        </w:tc>
        <w:tc>
          <w:tcPr>
            <w:tcW w:w="35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403302" w14:textId="77777777" w:rsidR="00A167F4" w:rsidRDefault="005B33E8">
            <w:pPr>
              <w:widowControl w:val="0"/>
              <w:spacing w:after="240"/>
            </w:pPr>
            <w:r>
              <w:rPr>
                <w:rFonts w:ascii="Arial" w:hAnsi="Arial" w:cs="Arial Unicode MS"/>
                <w:color w:val="000000"/>
                <w:sz w:val="22"/>
                <w:szCs w:val="22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Consists of 3 components: unmodified </w:t>
            </w:r>
            <w:proofErr w:type="spellStart"/>
            <w:r>
              <w:rPr>
                <w:rFonts w:ascii="Arial" w:hAnsi="Arial" w:cs="Arial Unicode MS"/>
                <w:color w:val="000000"/>
                <w:sz w:val="22"/>
                <w:szCs w:val="22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somatropin</w:t>
            </w:r>
            <w:proofErr w:type="spellEnd"/>
            <w:r>
              <w:rPr>
                <w:rFonts w:ascii="Arial" w:hAnsi="Arial" w:cs="Arial Unicode MS"/>
                <w:color w:val="000000"/>
                <w:sz w:val="22"/>
                <w:szCs w:val="22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(</w:t>
            </w:r>
            <w:proofErr w:type="spellStart"/>
            <w:r>
              <w:rPr>
                <w:rFonts w:ascii="Arial" w:hAnsi="Arial" w:cs="Arial Unicode MS"/>
                <w:color w:val="000000"/>
                <w:sz w:val="22"/>
                <w:szCs w:val="22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hGH</w:t>
            </w:r>
            <w:proofErr w:type="spellEnd"/>
            <w:r>
              <w:rPr>
                <w:rFonts w:ascii="Arial" w:hAnsi="Arial" w:cs="Arial Unicode MS"/>
                <w:color w:val="000000"/>
                <w:sz w:val="22"/>
                <w:szCs w:val="22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), an inert </w:t>
            </w:r>
            <w:proofErr w:type="spellStart"/>
            <w:r>
              <w:rPr>
                <w:rFonts w:ascii="Arial" w:hAnsi="Arial" w:cs="Arial Unicode MS"/>
                <w:color w:val="000000"/>
                <w:sz w:val="22"/>
                <w:szCs w:val="22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methoxypolyethylene</w:t>
            </w:r>
            <w:proofErr w:type="spellEnd"/>
            <w:r>
              <w:rPr>
                <w:rFonts w:ascii="Arial" w:hAnsi="Arial" w:cs="Arial Unicode MS"/>
                <w:color w:val="000000"/>
                <w:sz w:val="22"/>
                <w:szCs w:val="22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glycol carrier, and a </w:t>
            </w:r>
            <w:proofErr w:type="spellStart"/>
            <w:r>
              <w:rPr>
                <w:rFonts w:ascii="Arial" w:hAnsi="Arial" w:cs="Arial Unicode MS"/>
                <w:color w:val="000000"/>
                <w:sz w:val="22"/>
                <w:szCs w:val="22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TransCon</w:t>
            </w:r>
            <w:proofErr w:type="spellEnd"/>
            <w:r>
              <w:rPr>
                <w:rFonts w:ascii="Arial" w:hAnsi="Arial" w:cs="Arial Unicode MS"/>
                <w:color w:val="000000"/>
                <w:sz w:val="22"/>
                <w:szCs w:val="22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linker that transiently binds the other 2 components. The inert </w:t>
            </w:r>
            <w:proofErr w:type="spellStart"/>
            <w:r>
              <w:rPr>
                <w:rFonts w:ascii="Arial" w:hAnsi="Arial" w:cs="Arial Unicode MS"/>
                <w:color w:val="000000"/>
                <w:sz w:val="22"/>
                <w:szCs w:val="22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methoxypolyethylene</w:t>
            </w:r>
            <w:proofErr w:type="spellEnd"/>
            <w:r>
              <w:rPr>
                <w:rFonts w:ascii="Arial" w:hAnsi="Arial" w:cs="Arial Unicode MS"/>
                <w:color w:val="000000"/>
                <w:sz w:val="22"/>
                <w:szCs w:val="22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glycol acts as a carrier, extending </w:t>
            </w:r>
            <w:proofErr w:type="spellStart"/>
            <w:r>
              <w:rPr>
                <w:rFonts w:ascii="Arial" w:hAnsi="Arial" w:cs="Arial Unicode MS"/>
                <w:color w:val="000000"/>
                <w:sz w:val="22"/>
                <w:szCs w:val="22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hGH</w:t>
            </w:r>
            <w:proofErr w:type="spellEnd"/>
            <w:r>
              <w:rPr>
                <w:rFonts w:ascii="Arial" w:hAnsi="Arial" w:cs="Arial Unicode MS"/>
                <w:color w:val="000000"/>
                <w:sz w:val="22"/>
                <w:szCs w:val="22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circulation time. At physiologic pH and temperature, </w:t>
            </w:r>
            <w:proofErr w:type="spellStart"/>
            <w:r>
              <w:rPr>
                <w:rFonts w:ascii="Arial" w:hAnsi="Arial" w:cs="Arial Unicode MS"/>
                <w:color w:val="000000"/>
                <w:sz w:val="22"/>
                <w:szCs w:val="22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lonapegsomatropin</w:t>
            </w:r>
            <w:proofErr w:type="spellEnd"/>
            <w:r>
              <w:rPr>
                <w:rFonts w:ascii="Arial" w:hAnsi="Arial" w:cs="Arial Unicode MS"/>
                <w:color w:val="000000"/>
                <w:sz w:val="22"/>
                <w:szCs w:val="22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releases fully active, unmodified </w:t>
            </w:r>
            <w:proofErr w:type="spellStart"/>
            <w:r>
              <w:rPr>
                <w:rFonts w:ascii="Arial" w:hAnsi="Arial" w:cs="Arial Unicode MS"/>
                <w:color w:val="000000"/>
                <w:sz w:val="22"/>
                <w:szCs w:val="22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hGH</w:t>
            </w:r>
            <w:proofErr w:type="spellEnd"/>
            <w:r>
              <w:rPr>
                <w:rFonts w:ascii="Arial" w:hAnsi="Arial" w:cs="Arial Unicode MS"/>
                <w:color w:val="000000"/>
                <w:sz w:val="22"/>
                <w:szCs w:val="22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via </w:t>
            </w:r>
            <w:proofErr w:type="spellStart"/>
            <w:r>
              <w:rPr>
                <w:rFonts w:ascii="Arial" w:hAnsi="Arial" w:cs="Arial Unicode MS"/>
                <w:color w:val="000000"/>
                <w:sz w:val="22"/>
                <w:szCs w:val="22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autocleavage</w:t>
            </w:r>
            <w:proofErr w:type="spellEnd"/>
            <w:r>
              <w:rPr>
                <w:rFonts w:ascii="Arial" w:hAnsi="Arial" w:cs="Arial Unicode MS"/>
                <w:color w:val="000000"/>
                <w:sz w:val="22"/>
                <w:szCs w:val="22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of the </w:t>
            </w:r>
            <w:proofErr w:type="spellStart"/>
            <w:r>
              <w:rPr>
                <w:rFonts w:ascii="Arial" w:hAnsi="Arial" w:cs="Arial Unicode MS"/>
                <w:color w:val="000000"/>
                <w:sz w:val="22"/>
                <w:szCs w:val="22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TransCon</w:t>
            </w:r>
            <w:proofErr w:type="spellEnd"/>
            <w:r>
              <w:rPr>
                <w:rFonts w:ascii="Arial" w:hAnsi="Arial" w:cs="Arial Unicode MS"/>
                <w:color w:val="000000"/>
                <w:sz w:val="22"/>
                <w:szCs w:val="22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linker</w:t>
            </w:r>
          </w:p>
        </w:tc>
        <w:tc>
          <w:tcPr>
            <w:tcW w:w="35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7F1BD74" w14:textId="77777777" w:rsidR="00A167F4" w:rsidRDefault="005B33E8">
            <w:pPr>
              <w:widowControl w:val="0"/>
              <w:rPr>
                <w:rFonts w:ascii="Arial" w:eastAsia="Arial" w:hAnsi="Arial" w:cs="Arial"/>
                <w:color w:val="000000"/>
                <w:sz w:val="22"/>
                <w:szCs w:val="22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ascii="Arial" w:hAnsi="Arial" w:cs="Arial Unicode MS"/>
                <w:color w:val="000000"/>
                <w:sz w:val="22"/>
                <w:szCs w:val="22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Long-acting pharmacokinetics is due to the addition of an albumin binding moiety to the human growth hormone (</w:t>
            </w:r>
            <w:proofErr w:type="spellStart"/>
            <w:r>
              <w:rPr>
                <w:rFonts w:ascii="Arial" w:hAnsi="Arial" w:cs="Arial Unicode MS"/>
                <w:color w:val="000000"/>
                <w:sz w:val="22"/>
                <w:szCs w:val="22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hGH</w:t>
            </w:r>
            <w:proofErr w:type="spellEnd"/>
            <w:r>
              <w:rPr>
                <w:rFonts w:ascii="Arial" w:hAnsi="Arial" w:cs="Arial Unicode MS"/>
                <w:color w:val="000000"/>
                <w:sz w:val="22"/>
                <w:szCs w:val="22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) analog that binds to endogenous albumin. The reversible binding to endogenous albumin delays elimination of </w:t>
            </w:r>
            <w:proofErr w:type="spellStart"/>
            <w:r>
              <w:rPr>
                <w:rFonts w:ascii="Arial" w:hAnsi="Arial" w:cs="Arial Unicode MS"/>
                <w:color w:val="000000"/>
                <w:sz w:val="22"/>
                <w:szCs w:val="22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somapacitan</w:t>
            </w:r>
            <w:proofErr w:type="spellEnd"/>
            <w:r>
              <w:rPr>
                <w:rFonts w:ascii="Arial" w:hAnsi="Arial" w:cs="Arial Unicode MS"/>
                <w:color w:val="000000"/>
                <w:sz w:val="22"/>
                <w:szCs w:val="22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and thereby prolongs the in vivo half‑life and duration of action</w:t>
            </w:r>
          </w:p>
          <w:p w14:paraId="7FFDC9ED" w14:textId="77777777" w:rsidR="00A167F4" w:rsidRDefault="00A167F4">
            <w:pPr>
              <w:widowControl w:val="0"/>
            </w:pPr>
          </w:p>
        </w:tc>
        <w:tc>
          <w:tcPr>
            <w:tcW w:w="35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38918B" w14:textId="77777777" w:rsidR="00A167F4" w:rsidRDefault="005B33E8">
            <w:pPr>
              <w:widowControl w:val="0"/>
              <w:spacing w:after="240"/>
            </w:pPr>
            <w:r>
              <w:rPr>
                <w:rFonts w:ascii="Arial" w:hAnsi="Arial" w:cs="Arial Unicode MS"/>
                <w:color w:val="000000"/>
                <w:sz w:val="22"/>
                <w:szCs w:val="22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Comprised of the amino acid sequence of human growth hormone (</w:t>
            </w:r>
            <w:proofErr w:type="spellStart"/>
            <w:r>
              <w:rPr>
                <w:rFonts w:ascii="Arial" w:hAnsi="Arial" w:cs="Arial Unicode MS"/>
                <w:color w:val="000000"/>
                <w:sz w:val="22"/>
                <w:szCs w:val="22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hGH</w:t>
            </w:r>
            <w:proofErr w:type="spellEnd"/>
            <w:r>
              <w:rPr>
                <w:rFonts w:ascii="Arial" w:hAnsi="Arial" w:cs="Arial Unicode MS"/>
                <w:color w:val="000000"/>
                <w:sz w:val="22"/>
                <w:szCs w:val="22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) with one copy of the C-terminal peptide (CTP) from the beta chain of human chorionic gonadotropin (</w:t>
            </w:r>
            <w:proofErr w:type="spellStart"/>
            <w:r>
              <w:rPr>
                <w:rFonts w:ascii="Arial" w:hAnsi="Arial" w:cs="Arial Unicode MS"/>
                <w:color w:val="000000"/>
                <w:sz w:val="22"/>
                <w:szCs w:val="22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hCG</w:t>
            </w:r>
            <w:proofErr w:type="spellEnd"/>
            <w:r>
              <w:rPr>
                <w:rFonts w:ascii="Arial" w:hAnsi="Arial" w:cs="Arial Unicode MS"/>
                <w:color w:val="000000"/>
                <w:sz w:val="22"/>
                <w:szCs w:val="22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) at the N-terminus and 2 copies of CTP (in tandem) at the C-terminus</w:t>
            </w:r>
          </w:p>
        </w:tc>
      </w:tr>
      <w:tr w:rsidR="00A167F4" w14:paraId="615CDC5C" w14:textId="77777777" w:rsidTr="0071162E">
        <w:trPr>
          <w:trHeight w:val="1693"/>
        </w:trPr>
        <w:tc>
          <w:tcPr>
            <w:tcW w:w="23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94D932E" w14:textId="77777777" w:rsidR="00A167F4" w:rsidRDefault="005B33E8">
            <w:pPr>
              <w:pStyle w:val="Body"/>
              <w:widowControl w:val="0"/>
              <w:spacing w:line="240" w:lineRule="auto"/>
            </w:pPr>
            <w:r>
              <w:rPr>
                <w:b/>
                <w:bCs/>
                <w:sz w:val="24"/>
                <w:szCs w:val="24"/>
              </w:rPr>
              <w:t>Dosing</w:t>
            </w:r>
          </w:p>
        </w:tc>
        <w:tc>
          <w:tcPr>
            <w:tcW w:w="35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013F24E" w14:textId="77777777" w:rsidR="00A167F4" w:rsidRDefault="005B33E8">
            <w:pPr>
              <w:pStyle w:val="Body"/>
              <w:widowControl w:val="0"/>
              <w:spacing w:line="240" w:lineRule="auto"/>
            </w:pPr>
            <w:r>
              <w:t>0.24 mg/kg/week</w:t>
            </w:r>
          </w:p>
          <w:p w14:paraId="1843535A" w14:textId="77777777" w:rsidR="00A167F4" w:rsidRDefault="005B33E8">
            <w:pPr>
              <w:pStyle w:val="Body"/>
              <w:widowControl w:val="0"/>
              <w:spacing w:line="240" w:lineRule="auto"/>
            </w:pPr>
            <w:r>
              <w:t xml:space="preserve">Convenient dosing table used, based on weight </w:t>
            </w:r>
          </w:p>
        </w:tc>
        <w:tc>
          <w:tcPr>
            <w:tcW w:w="35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9E150AE" w14:textId="77777777" w:rsidR="00A167F4" w:rsidRDefault="005B33E8">
            <w:pPr>
              <w:pStyle w:val="Body"/>
              <w:widowControl w:val="0"/>
              <w:spacing w:line="240" w:lineRule="auto"/>
            </w:pPr>
            <w:r>
              <w:t>0.16 mg/kg/week</w:t>
            </w:r>
          </w:p>
        </w:tc>
        <w:tc>
          <w:tcPr>
            <w:tcW w:w="35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3E11182" w14:textId="77777777" w:rsidR="00A167F4" w:rsidRDefault="005B33E8">
            <w:pPr>
              <w:pStyle w:val="Body"/>
              <w:widowControl w:val="0"/>
              <w:spacing w:line="240" w:lineRule="auto"/>
            </w:pPr>
            <w:r>
              <w:t>0.66 mg/kg/week</w:t>
            </w:r>
          </w:p>
          <w:p w14:paraId="6C696A16" w14:textId="77777777" w:rsidR="00A167F4" w:rsidRDefault="00A167F4">
            <w:pPr>
              <w:pStyle w:val="Body"/>
              <w:widowControl w:val="0"/>
              <w:spacing w:line="240" w:lineRule="auto"/>
            </w:pPr>
          </w:p>
          <w:p w14:paraId="2317C13C" w14:textId="77777777" w:rsidR="00A167F4" w:rsidRDefault="005B33E8">
            <w:pPr>
              <w:pStyle w:val="Body"/>
              <w:widowControl w:val="0"/>
              <w:spacing w:line="240" w:lineRule="auto"/>
            </w:pPr>
            <w:r>
              <w:t xml:space="preserve">The difference in dosing is due to the higher molecular weight of the NGENLA molecule. Biologically similar to 0.24 mg/kg/week of daily somatropin. </w:t>
            </w:r>
          </w:p>
        </w:tc>
      </w:tr>
      <w:tr w:rsidR="00A167F4" w14:paraId="6B1A09FD" w14:textId="77777777" w:rsidTr="0071162E">
        <w:trPr>
          <w:trHeight w:val="2653"/>
        </w:trPr>
        <w:tc>
          <w:tcPr>
            <w:tcW w:w="23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27E8CCA" w14:textId="77777777" w:rsidR="00A167F4" w:rsidRDefault="005B33E8">
            <w:pPr>
              <w:pStyle w:val="Body"/>
              <w:widowControl w:val="0"/>
              <w:spacing w:line="240" w:lineRule="auto"/>
            </w:pPr>
            <w:r>
              <w:rPr>
                <w:b/>
                <w:bCs/>
                <w:sz w:val="24"/>
                <w:szCs w:val="24"/>
              </w:rPr>
              <w:t>Efficacy data</w:t>
            </w:r>
          </w:p>
        </w:tc>
        <w:tc>
          <w:tcPr>
            <w:tcW w:w="35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BEBF348" w14:textId="77777777" w:rsidR="00A167F4" w:rsidRDefault="005B33E8">
            <w:pPr>
              <w:pStyle w:val="Body"/>
              <w:widowControl w:val="0"/>
              <w:spacing w:line="240" w:lineRule="auto"/>
            </w:pPr>
            <w:proofErr w:type="spellStart"/>
            <w:r>
              <w:t>Skytrofa</w:t>
            </w:r>
            <w:proofErr w:type="spellEnd"/>
            <w:r>
              <w:t xml:space="preserve"> demonstrated both </w:t>
            </w:r>
            <w:proofErr w:type="spellStart"/>
            <w:r>
              <w:t>noninferiority</w:t>
            </w:r>
            <w:proofErr w:type="spellEnd"/>
            <w:r>
              <w:t xml:space="preserve"> and superiority to daily GH for the primary endpoint annualized height velocity at 52 weeks (phase 3</w:t>
            </w:r>
          </w:p>
          <w:p w14:paraId="75E0D916" w14:textId="7C4730C2" w:rsidR="00A167F4" w:rsidRDefault="005B33E8">
            <w:pPr>
              <w:pStyle w:val="Body"/>
              <w:widowControl w:val="0"/>
              <w:spacing w:line="240" w:lineRule="auto"/>
            </w:pPr>
            <w:proofErr w:type="spellStart"/>
            <w:r>
              <w:t>heiGHt</w:t>
            </w:r>
            <w:proofErr w:type="spellEnd"/>
            <w:r>
              <w:t xml:space="preserve"> trial: compared to daily GH 0.034 mg/kg/day</w:t>
            </w:r>
            <w:r w:rsidR="007A5A23">
              <w:t>,</w:t>
            </w:r>
            <w:r>
              <w:t xml:space="preserve"> </w:t>
            </w:r>
            <w:r w:rsidR="007A5A23">
              <w:t xml:space="preserve">n </w:t>
            </w:r>
            <w:r>
              <w:t>= 161 (2:1 randomization))</w:t>
            </w:r>
            <w:r>
              <w:rPr>
                <w:vertAlign w:val="superscript"/>
              </w:rPr>
              <w:t>4</w:t>
            </w:r>
          </w:p>
        </w:tc>
        <w:tc>
          <w:tcPr>
            <w:tcW w:w="35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DF50938" w14:textId="52268899" w:rsidR="00A167F4" w:rsidRDefault="005B33E8">
            <w:pPr>
              <w:pStyle w:val="Body"/>
              <w:widowControl w:val="0"/>
              <w:spacing w:line="240" w:lineRule="auto"/>
            </w:pPr>
            <w:proofErr w:type="spellStart"/>
            <w:r>
              <w:t>Sogroya</w:t>
            </w:r>
            <w:proofErr w:type="spellEnd"/>
            <w:r>
              <w:t xml:space="preserve"> demonstrated </w:t>
            </w:r>
            <w:proofErr w:type="spellStart"/>
            <w:r>
              <w:t>noninferiority</w:t>
            </w:r>
            <w:proofErr w:type="spellEnd"/>
            <w:r>
              <w:t xml:space="preserve"> to daily GH for the primary endpoint annualized height velocity at 52 weeks (REAL 4: compared to daily GH 0.034 mg/kg/day</w:t>
            </w:r>
            <w:r w:rsidR="007A5A23">
              <w:t>,</w:t>
            </w:r>
            <w:r>
              <w:t xml:space="preserve"> </w:t>
            </w:r>
            <w:r w:rsidR="007A5A23">
              <w:t xml:space="preserve">n </w:t>
            </w:r>
            <w:r>
              <w:t>= 200 (2:1 randomization)). Growth outcomes were sustained after 2 years as all participants were switched to Sogroya</w:t>
            </w:r>
            <w:r>
              <w:rPr>
                <w:vertAlign w:val="superscript"/>
              </w:rPr>
              <w:t>6,7</w:t>
            </w:r>
          </w:p>
        </w:tc>
        <w:tc>
          <w:tcPr>
            <w:tcW w:w="35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C6F764B" w14:textId="2B5334D1" w:rsidR="00A167F4" w:rsidRDefault="005B33E8">
            <w:pPr>
              <w:pStyle w:val="Body"/>
              <w:widowControl w:val="0"/>
              <w:spacing w:line="240" w:lineRule="auto"/>
            </w:pPr>
            <w:r>
              <w:t>NGENLA demonstrated noninferiority to daily GH for the primary endpoint annualized height velocity at 52 weeks, and for secondary endpoints including change in height standard deviation score and mean IGF-1 levels (phase 3: compared to daily GH 0.034 mg/kg/day</w:t>
            </w:r>
            <w:r w:rsidR="007A5A23">
              <w:t>,</w:t>
            </w:r>
            <w:r>
              <w:t xml:space="preserve"> </w:t>
            </w:r>
            <w:r w:rsidR="007A5A23">
              <w:t xml:space="preserve">n </w:t>
            </w:r>
            <w:r>
              <w:t>=</w:t>
            </w:r>
            <w:r w:rsidR="007A5A23">
              <w:t xml:space="preserve"> </w:t>
            </w:r>
            <w:r>
              <w:t>224 (1:1 randomization)</w:t>
            </w:r>
            <w:r>
              <w:rPr>
                <w:vertAlign w:val="superscript"/>
              </w:rPr>
              <w:t>9</w:t>
            </w:r>
          </w:p>
        </w:tc>
      </w:tr>
      <w:tr w:rsidR="00A167F4" w14:paraId="3F2A19DB" w14:textId="77777777" w:rsidTr="0071162E">
        <w:trPr>
          <w:trHeight w:val="2413"/>
        </w:trPr>
        <w:tc>
          <w:tcPr>
            <w:tcW w:w="23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0FE1A95" w14:textId="77777777" w:rsidR="00A167F4" w:rsidRDefault="005B33E8">
            <w:pPr>
              <w:pStyle w:val="Body"/>
              <w:widowControl w:val="0"/>
              <w:spacing w:line="240" w:lineRule="auto"/>
            </w:pPr>
            <w:r>
              <w:rPr>
                <w:b/>
                <w:bCs/>
                <w:sz w:val="24"/>
                <w:szCs w:val="24"/>
              </w:rPr>
              <w:lastRenderedPageBreak/>
              <w:t>Safety data</w:t>
            </w:r>
          </w:p>
        </w:tc>
        <w:tc>
          <w:tcPr>
            <w:tcW w:w="35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4EA0B8" w14:textId="1DACA787" w:rsidR="00A167F4" w:rsidRDefault="005B33E8">
            <w:pPr>
              <w:pStyle w:val="Body"/>
              <w:widowControl w:val="0"/>
              <w:spacing w:line="240" w:lineRule="auto"/>
            </w:pPr>
            <w:r>
              <w:t xml:space="preserve">No serious adverse events (SAEs) related in the </w:t>
            </w:r>
            <w:proofErr w:type="spellStart"/>
            <w:r>
              <w:t>heiGHt</w:t>
            </w:r>
            <w:proofErr w:type="spellEnd"/>
            <w:r>
              <w:t xml:space="preserve"> trial and no adverse events (AEs) led to treatment discontinuation or death. Rates of SAEs and AEs were similar between groups. Most common AEs were URI, pyrexia</w:t>
            </w:r>
            <w:r w:rsidR="007A5A23">
              <w:t>,</w:t>
            </w:r>
            <w:r>
              <w:t xml:space="preserve"> and headaches</w:t>
            </w:r>
            <w:r>
              <w:rPr>
                <w:vertAlign w:val="superscript"/>
              </w:rPr>
              <w:t>4</w:t>
            </w:r>
          </w:p>
          <w:p w14:paraId="56787D79" w14:textId="77777777" w:rsidR="00A167F4" w:rsidRDefault="00A167F4">
            <w:pPr>
              <w:pStyle w:val="Body"/>
              <w:widowControl w:val="0"/>
              <w:spacing w:line="240" w:lineRule="auto"/>
            </w:pPr>
          </w:p>
        </w:tc>
        <w:tc>
          <w:tcPr>
            <w:tcW w:w="35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772617F" w14:textId="77777777" w:rsidR="00A167F4" w:rsidRDefault="005B33E8">
            <w:pPr>
              <w:pStyle w:val="Body"/>
              <w:widowControl w:val="0"/>
              <w:spacing w:line="240" w:lineRule="auto"/>
            </w:pPr>
            <w:r>
              <w:t>AEs include nasopharyngitis, headache, pyrexia, pain in extremity, and injection site reactions. No deaths, and no participants discontinued the study because of AEs</w:t>
            </w:r>
            <w:r>
              <w:rPr>
                <w:vertAlign w:val="superscript"/>
              </w:rPr>
              <w:t>6</w:t>
            </w:r>
          </w:p>
        </w:tc>
        <w:tc>
          <w:tcPr>
            <w:tcW w:w="35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A133D79" w14:textId="77777777" w:rsidR="00A167F4" w:rsidRDefault="005B33E8">
            <w:pPr>
              <w:pStyle w:val="Body"/>
            </w:pPr>
            <w:r>
              <w:t>AEs were mild to moderate in severity, AEs and SAEs were similar between groups. No SAEs were considered to be related to treatment. Injection site reactions were the most common.</w:t>
            </w:r>
            <w:r>
              <w:rPr>
                <w:vertAlign w:val="superscript"/>
              </w:rPr>
              <w:t>9</w:t>
            </w:r>
          </w:p>
        </w:tc>
      </w:tr>
      <w:tr w:rsidR="00A167F4" w14:paraId="4E8A3373" w14:textId="77777777" w:rsidTr="0071162E">
        <w:trPr>
          <w:trHeight w:val="3613"/>
        </w:trPr>
        <w:tc>
          <w:tcPr>
            <w:tcW w:w="23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D2ECAAA" w14:textId="77777777" w:rsidR="00A167F4" w:rsidRDefault="005B33E8">
            <w:pPr>
              <w:pStyle w:val="Body"/>
              <w:widowControl w:val="0"/>
              <w:spacing w:line="240" w:lineRule="auto"/>
            </w:pPr>
            <w:r>
              <w:rPr>
                <w:b/>
                <w:bCs/>
                <w:sz w:val="24"/>
                <w:szCs w:val="24"/>
              </w:rPr>
              <w:t>Long-term data</w:t>
            </w:r>
          </w:p>
        </w:tc>
        <w:tc>
          <w:tcPr>
            <w:tcW w:w="35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721A903" w14:textId="77777777" w:rsidR="00A167F4" w:rsidRDefault="005B33E8">
            <w:pPr>
              <w:pStyle w:val="Body"/>
              <w:widowControl w:val="0"/>
              <w:spacing w:line="240" w:lineRule="auto"/>
            </w:pPr>
            <w:r>
              <w:t>Phase 3, open-label extension trial (</w:t>
            </w:r>
            <w:proofErr w:type="spellStart"/>
            <w:r>
              <w:t>enliGHten</w:t>
            </w:r>
            <w:proofErr w:type="spellEnd"/>
            <w:r>
              <w:t xml:space="preserve"> Trial)</w:t>
            </w:r>
          </w:p>
          <w:p w14:paraId="015D95FC" w14:textId="15A3C2FA" w:rsidR="00A167F4" w:rsidRDefault="005B33E8">
            <w:pPr>
              <w:pStyle w:val="Body"/>
              <w:widowControl w:val="0"/>
              <w:spacing w:line="240" w:lineRule="auto"/>
            </w:pPr>
            <w:r>
              <w:t>in children with GHD demonstrated sustained efficacy in terms of growth outcomes. AEs were consistent with prior reports of daily GH</w:t>
            </w:r>
            <w:r>
              <w:rPr>
                <w:vertAlign w:val="superscript"/>
              </w:rPr>
              <w:t>5</w:t>
            </w:r>
          </w:p>
        </w:tc>
        <w:tc>
          <w:tcPr>
            <w:tcW w:w="35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E4F995E" w14:textId="77777777" w:rsidR="00A167F4" w:rsidRDefault="005B33E8">
            <w:pPr>
              <w:pStyle w:val="Body"/>
              <w:widowControl w:val="0"/>
              <w:spacing w:line="240" w:lineRule="auto"/>
            </w:pPr>
            <w:r>
              <w:t xml:space="preserve">Phase 3, extension trial (REAL4): up to 156 weeks of treatment showed sustained growth whether children continued weekly </w:t>
            </w:r>
            <w:proofErr w:type="spellStart"/>
            <w:r>
              <w:t>Sogroya</w:t>
            </w:r>
            <w:proofErr w:type="spellEnd"/>
            <w:r>
              <w:t xml:space="preserve"> or switched from daily GH to weekly </w:t>
            </w:r>
            <w:proofErr w:type="spellStart"/>
            <w:r>
              <w:t>Sogroya</w:t>
            </w:r>
            <w:proofErr w:type="spellEnd"/>
            <w:r>
              <w:t xml:space="preserve"> in the extension period.</w:t>
            </w:r>
            <w:r>
              <w:rPr>
                <w:vertAlign w:val="superscript"/>
              </w:rPr>
              <w:t>8</w:t>
            </w:r>
          </w:p>
        </w:tc>
        <w:tc>
          <w:tcPr>
            <w:tcW w:w="35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EBBAD86" w14:textId="45894CCC" w:rsidR="00A167F4" w:rsidRDefault="005B33E8">
            <w:pPr>
              <w:pStyle w:val="Body"/>
              <w:widowControl w:val="0"/>
              <w:spacing w:line="240" w:lineRule="auto"/>
            </w:pPr>
            <w:r>
              <w:t xml:space="preserve">Data from phase 2 open-label extension study </w:t>
            </w:r>
            <w:r w:rsidR="007A5A23">
              <w:t xml:space="preserve">demonstrated </w:t>
            </w:r>
            <w:r>
              <w:t xml:space="preserve">safety and efficacy after 5 years of NGENLA use in children with GHD. </w:t>
            </w:r>
          </w:p>
          <w:p w14:paraId="10FCD529" w14:textId="77777777" w:rsidR="00A167F4" w:rsidRDefault="005B33E8">
            <w:pPr>
              <w:pStyle w:val="Body"/>
              <w:widowControl w:val="0"/>
              <w:spacing w:line="240" w:lineRule="auto"/>
            </w:pPr>
            <w:r>
              <w:t>At 5 years, sustained improvements in height SDS and annualized height velocity were shown, along with a favorable safety profile.</w:t>
            </w:r>
            <w:r>
              <w:rPr>
                <w:vertAlign w:val="superscript"/>
              </w:rPr>
              <w:t>10</w:t>
            </w:r>
            <w:r>
              <w:t xml:space="preserve"> Most AEs were mild or moderate and unrelated to the drug. Eight year data is now available with similar findings; treatment-related AEs and SAEs are rare.</w:t>
            </w:r>
          </w:p>
        </w:tc>
      </w:tr>
      <w:tr w:rsidR="00A167F4" w14:paraId="2CE38653" w14:textId="77777777" w:rsidTr="0071162E">
        <w:trPr>
          <w:trHeight w:val="1412"/>
        </w:trPr>
        <w:tc>
          <w:tcPr>
            <w:tcW w:w="23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6E4AD67" w14:textId="77777777" w:rsidR="00A167F4" w:rsidRDefault="005B33E8">
            <w:pPr>
              <w:pStyle w:val="Body"/>
              <w:widowControl w:val="0"/>
              <w:spacing w:line="24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Monitoring:</w:t>
            </w:r>
          </w:p>
          <w:p w14:paraId="2DDD0E1A" w14:textId="77777777" w:rsidR="00A167F4" w:rsidRDefault="005B33E8">
            <w:pPr>
              <w:pStyle w:val="Body"/>
              <w:widowControl w:val="0"/>
              <w:spacing w:line="240" w:lineRule="auto"/>
            </w:pPr>
            <w:r>
              <w:rPr>
                <w:b/>
                <w:bCs/>
                <w:sz w:val="24"/>
                <w:szCs w:val="24"/>
              </w:rPr>
              <w:t>Day post-injection that reflects average IGF-1 level*</w:t>
            </w:r>
          </w:p>
        </w:tc>
        <w:tc>
          <w:tcPr>
            <w:tcW w:w="35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472D271" w14:textId="77777777" w:rsidR="00A167F4" w:rsidRDefault="005B33E8">
            <w:pPr>
              <w:pStyle w:val="Body"/>
              <w:widowControl w:val="0"/>
              <w:spacing w:line="240" w:lineRule="auto"/>
            </w:pPr>
            <w:r>
              <w:t>Day 4-5</w:t>
            </w:r>
          </w:p>
        </w:tc>
        <w:tc>
          <w:tcPr>
            <w:tcW w:w="35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FFE81C" w14:textId="77777777" w:rsidR="00A167F4" w:rsidRDefault="005B33E8">
            <w:pPr>
              <w:pStyle w:val="Body"/>
              <w:widowControl w:val="0"/>
              <w:spacing w:line="240" w:lineRule="auto"/>
            </w:pPr>
            <w:r>
              <w:t>Day 4</w:t>
            </w:r>
          </w:p>
        </w:tc>
        <w:tc>
          <w:tcPr>
            <w:tcW w:w="35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B783058" w14:textId="77777777" w:rsidR="00A167F4" w:rsidRDefault="005B33E8">
            <w:pPr>
              <w:pStyle w:val="Body"/>
              <w:widowControl w:val="0"/>
              <w:spacing w:line="240" w:lineRule="auto"/>
            </w:pPr>
            <w:r>
              <w:t>Day 4</w:t>
            </w:r>
          </w:p>
        </w:tc>
      </w:tr>
    </w:tbl>
    <w:p w14:paraId="28598851" w14:textId="77777777" w:rsidR="00A167F4" w:rsidRDefault="00A167F4">
      <w:pPr>
        <w:pStyle w:val="Body"/>
      </w:pPr>
    </w:p>
    <w:p w14:paraId="0DCF6305" w14:textId="77777777" w:rsidR="00A167F4" w:rsidRDefault="005B33E8">
      <w:pPr>
        <w:pStyle w:val="Body"/>
        <w:rPr>
          <w:vertAlign w:val="superscript"/>
        </w:rPr>
      </w:pPr>
      <w:r>
        <w:t xml:space="preserve">*When using IGF-1 for monitoring and dose adjustment, the day and time of injection should be noted. IGF-1 level done 4 days after </w:t>
      </w:r>
      <w:proofErr w:type="spellStart"/>
      <w:r>
        <w:t>Sogroya</w:t>
      </w:r>
      <w:proofErr w:type="spellEnd"/>
      <w:r>
        <w:t xml:space="preserve"> and </w:t>
      </w:r>
      <w:proofErr w:type="spellStart"/>
      <w:r>
        <w:t>Ngenla</w:t>
      </w:r>
      <w:proofErr w:type="spellEnd"/>
      <w:r>
        <w:t xml:space="preserve"> and 4-5 days after </w:t>
      </w:r>
      <w:proofErr w:type="spellStart"/>
      <w:r>
        <w:t>Skytrofa</w:t>
      </w:r>
      <w:proofErr w:type="spellEnd"/>
      <w:r>
        <w:t xml:space="preserve"> injection is considered average and no adjustment is needed. Otherwise, it is recommended to adjust the level based on the table below per a recent consensus statement by Maniatis et al.</w:t>
      </w:r>
      <w:r>
        <w:rPr>
          <w:vertAlign w:val="superscript"/>
        </w:rPr>
        <w:t>11</w:t>
      </w:r>
    </w:p>
    <w:p w14:paraId="68167741" w14:textId="77777777" w:rsidR="00A167F4" w:rsidRDefault="005B33E8">
      <w:pPr>
        <w:pStyle w:val="Body"/>
        <w:rPr>
          <w:vertAlign w:val="superscript"/>
        </w:rPr>
      </w:pPr>
      <w:r>
        <w:rPr>
          <w:noProof/>
        </w:rPr>
        <w:drawing>
          <wp:anchor distT="152400" distB="152400" distL="152400" distR="152400" simplePos="0" relativeHeight="251659264" behindDoc="0" locked="0" layoutInCell="1" allowOverlap="1" wp14:anchorId="395EDE6D" wp14:editId="0787CA0D">
            <wp:simplePos x="0" y="0"/>
            <wp:positionH relativeFrom="page">
              <wp:posOffset>400049</wp:posOffset>
            </wp:positionH>
            <wp:positionV relativeFrom="line">
              <wp:posOffset>435609</wp:posOffset>
            </wp:positionV>
            <wp:extent cx="9652200" cy="2308861"/>
            <wp:effectExtent l="0" t="0" r="0" b="0"/>
            <wp:wrapTopAndBottom distT="152400" distB="152400"/>
            <wp:docPr id="1073741825" name="officeArt object" descr="Imag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Image" descr="Image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9652200" cy="2308861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</w:p>
    <w:p w14:paraId="40E9DA8B" w14:textId="77777777" w:rsidR="00A167F4" w:rsidRDefault="00A167F4">
      <w:pPr>
        <w:pStyle w:val="Body"/>
        <w:rPr>
          <w:vertAlign w:val="superscript"/>
        </w:rPr>
      </w:pPr>
    </w:p>
    <w:p w14:paraId="6671EFD8" w14:textId="77777777" w:rsidR="00A167F4" w:rsidRDefault="00A167F4">
      <w:pPr>
        <w:pStyle w:val="Body"/>
        <w:rPr>
          <w:vertAlign w:val="superscript"/>
        </w:rPr>
      </w:pPr>
    </w:p>
    <w:p w14:paraId="3C0B1A25" w14:textId="77777777" w:rsidR="00A167F4" w:rsidRDefault="00A167F4">
      <w:pPr>
        <w:pStyle w:val="Body"/>
        <w:rPr>
          <w:vertAlign w:val="superscript"/>
        </w:rPr>
      </w:pPr>
    </w:p>
    <w:p w14:paraId="10F6CDC5" w14:textId="77777777" w:rsidR="00A167F4" w:rsidRDefault="00A167F4">
      <w:pPr>
        <w:pStyle w:val="Body"/>
        <w:rPr>
          <w:vertAlign w:val="superscript"/>
        </w:rPr>
      </w:pPr>
    </w:p>
    <w:p w14:paraId="6740A740" w14:textId="77777777" w:rsidR="00A167F4" w:rsidRDefault="00A167F4">
      <w:pPr>
        <w:pStyle w:val="Body"/>
        <w:rPr>
          <w:vertAlign w:val="superscript"/>
        </w:rPr>
      </w:pPr>
    </w:p>
    <w:p w14:paraId="365D344B" w14:textId="77777777" w:rsidR="00A167F4" w:rsidRDefault="005B33E8">
      <w:pPr>
        <w:pStyle w:val="Body"/>
      </w:pPr>
      <w:r>
        <w:t>1. https://www.accessdata.fda.gov/drugsatfda_docs/label/2021/761177lbl.pdf [Available</w:t>
      </w:r>
    </w:p>
    <w:p w14:paraId="30ABE642" w14:textId="77777777" w:rsidR="00A167F4" w:rsidRDefault="005B33E8">
      <w:pPr>
        <w:pStyle w:val="Body"/>
      </w:pPr>
      <w:r>
        <w:t>from: https://www.accessdata.fda.gov/drugsatfda_docs/label/2021/761177lbl.pdf.</w:t>
      </w:r>
    </w:p>
    <w:p w14:paraId="4DAD309E" w14:textId="77777777" w:rsidR="00A167F4" w:rsidRDefault="005B33E8">
      <w:pPr>
        <w:pStyle w:val="Body"/>
      </w:pPr>
      <w:r>
        <w:t xml:space="preserve">2. https://www.accessdata.fda.gov/drugsatfda_docs/label/2023/761156s005lbl.pdf </w:t>
      </w:r>
    </w:p>
    <w:p w14:paraId="082EF18C" w14:textId="77777777" w:rsidR="00A167F4" w:rsidRDefault="005B33E8">
      <w:pPr>
        <w:pStyle w:val="Body"/>
      </w:pPr>
      <w:r>
        <w:t>3.https://www.accessdata.fda.gov/drugsatfda_docs/label/2023/761184Orig1s000Corrected_lbl.pdf</w:t>
      </w:r>
    </w:p>
    <w:p w14:paraId="0BF53AAA" w14:textId="77777777" w:rsidR="00A167F4" w:rsidRDefault="005B33E8">
      <w:pPr>
        <w:pStyle w:val="Body"/>
      </w:pPr>
      <w:r>
        <w:t xml:space="preserve">4. Thornton PS, </w:t>
      </w:r>
      <w:proofErr w:type="spellStart"/>
      <w:r>
        <w:t>Maniatis</w:t>
      </w:r>
      <w:proofErr w:type="spellEnd"/>
      <w:r>
        <w:t xml:space="preserve"> AK, </w:t>
      </w:r>
      <w:proofErr w:type="spellStart"/>
      <w:r>
        <w:t>Aghajanova</w:t>
      </w:r>
      <w:proofErr w:type="spellEnd"/>
      <w:r>
        <w:t xml:space="preserve"> E, </w:t>
      </w:r>
      <w:proofErr w:type="spellStart"/>
      <w:r>
        <w:t>Chertok</w:t>
      </w:r>
      <w:proofErr w:type="spellEnd"/>
      <w:r>
        <w:t xml:space="preserve"> E, </w:t>
      </w:r>
      <w:proofErr w:type="spellStart"/>
      <w:r>
        <w:t>Vlachopapadopoulou</w:t>
      </w:r>
      <w:proofErr w:type="spellEnd"/>
      <w:r>
        <w:t xml:space="preserve"> E, Lin Z, et al. Weekly </w:t>
      </w:r>
      <w:proofErr w:type="spellStart"/>
      <w:r>
        <w:t>Lonapegsomatropin</w:t>
      </w:r>
      <w:proofErr w:type="spellEnd"/>
      <w:r>
        <w:t xml:space="preserve"> in Treatment-Naive Children With Growth Hormone Deficiency: The Phase 3 </w:t>
      </w:r>
      <w:proofErr w:type="spellStart"/>
      <w:r>
        <w:t>heiGHt</w:t>
      </w:r>
      <w:proofErr w:type="spellEnd"/>
      <w:r>
        <w:t xml:space="preserve"> Trial. J Clin </w:t>
      </w:r>
      <w:proofErr w:type="spellStart"/>
      <w:r>
        <w:t>Endocrinol</w:t>
      </w:r>
      <w:proofErr w:type="spellEnd"/>
      <w:r>
        <w:t xml:space="preserve"> </w:t>
      </w:r>
      <w:proofErr w:type="spellStart"/>
      <w:r>
        <w:t>Metab</w:t>
      </w:r>
      <w:proofErr w:type="spellEnd"/>
      <w:r>
        <w:t>. 2021;106(11):3184-95.</w:t>
      </w:r>
    </w:p>
    <w:p w14:paraId="59D84514" w14:textId="77777777" w:rsidR="00A167F4" w:rsidRDefault="005B33E8">
      <w:pPr>
        <w:pStyle w:val="Body"/>
      </w:pPr>
      <w:r>
        <w:t xml:space="preserve">5. Maniatis AK, Thornton PS, </w:t>
      </w:r>
      <w:proofErr w:type="spellStart"/>
      <w:r>
        <w:t>Nadgir</w:t>
      </w:r>
      <w:proofErr w:type="spellEnd"/>
      <w:r>
        <w:t xml:space="preserve"> UM, </w:t>
      </w:r>
      <w:proofErr w:type="spellStart"/>
      <w:r>
        <w:t>Vlachopapadopoulou</w:t>
      </w:r>
      <w:proofErr w:type="spellEnd"/>
      <w:r>
        <w:t xml:space="preserve"> E, </w:t>
      </w:r>
      <w:proofErr w:type="spellStart"/>
      <w:r>
        <w:t>Malievskiy</w:t>
      </w:r>
      <w:proofErr w:type="spellEnd"/>
      <w:r>
        <w:t xml:space="preserve"> O, </w:t>
      </w:r>
      <w:proofErr w:type="spellStart"/>
      <w:r>
        <w:t>Aghajanova</w:t>
      </w:r>
      <w:proofErr w:type="spellEnd"/>
      <w:r>
        <w:t xml:space="preserve"> EM, et al. Children with Growth Hormone Deficiency Treated with </w:t>
      </w:r>
      <w:proofErr w:type="spellStart"/>
      <w:r>
        <w:t>Lonapegsomatropin</w:t>
      </w:r>
      <w:proofErr w:type="spellEnd"/>
      <w:r>
        <w:t xml:space="preserve"> Demonstrated Sustained Height Improvements for up to 6 Years: </w:t>
      </w:r>
      <w:proofErr w:type="spellStart"/>
      <w:r>
        <w:t>enliGHten</w:t>
      </w:r>
      <w:proofErr w:type="spellEnd"/>
    </w:p>
    <w:p w14:paraId="58DEE861" w14:textId="77777777" w:rsidR="00A167F4" w:rsidRDefault="005B33E8">
      <w:pPr>
        <w:pStyle w:val="Body"/>
      </w:pPr>
      <w:r>
        <w:rPr>
          <w:lang w:val="it-IT"/>
        </w:rPr>
        <w:t>Trial Final Results. Horm Res Paediatr. 2025:1-13.</w:t>
      </w:r>
    </w:p>
    <w:p w14:paraId="7A85C274" w14:textId="77777777" w:rsidR="00A167F4" w:rsidRDefault="005B33E8">
      <w:pPr>
        <w:pStyle w:val="Body"/>
      </w:pPr>
      <w:r>
        <w:t xml:space="preserve">6. Miller BS, Blair JC, Rasmussen MH, Maniatis A, Kildemoes RJ, Mori J, et al. Weekly </w:t>
      </w:r>
      <w:proofErr w:type="spellStart"/>
      <w:r>
        <w:t>Somapacitan</w:t>
      </w:r>
      <w:proofErr w:type="spellEnd"/>
      <w:r>
        <w:t xml:space="preserve"> is Effective and Well Tolerated in Children With GH Deficiency: The Randomized Phase 3 REAL4 Trial. J Clin </w:t>
      </w:r>
      <w:proofErr w:type="spellStart"/>
      <w:r>
        <w:t>Endocrinol</w:t>
      </w:r>
      <w:proofErr w:type="spellEnd"/>
      <w:r>
        <w:t xml:space="preserve"> </w:t>
      </w:r>
      <w:proofErr w:type="spellStart"/>
      <w:r>
        <w:t>Metab</w:t>
      </w:r>
      <w:proofErr w:type="spellEnd"/>
      <w:r>
        <w:t>. 2022;107(12):3378-88.</w:t>
      </w:r>
    </w:p>
    <w:p w14:paraId="7881C796" w14:textId="77777777" w:rsidR="00A167F4" w:rsidRDefault="005B33E8">
      <w:pPr>
        <w:pStyle w:val="Body"/>
      </w:pPr>
      <w:r>
        <w:t xml:space="preserve">7. Miller BS, Blair JC, Rasmussen MH, Maniatis A, Mori J, Bottcher V, et al. Effective GH Replacement With </w:t>
      </w:r>
      <w:proofErr w:type="spellStart"/>
      <w:r>
        <w:t>Somapacitan</w:t>
      </w:r>
      <w:proofErr w:type="spellEnd"/>
      <w:r>
        <w:t xml:space="preserve"> in Children With GHD: REAL4 2-year Results and After Switch From Daily GH. J Clin </w:t>
      </w:r>
      <w:proofErr w:type="spellStart"/>
      <w:r>
        <w:t>Endocrinol</w:t>
      </w:r>
      <w:proofErr w:type="spellEnd"/>
      <w:r>
        <w:t xml:space="preserve"> </w:t>
      </w:r>
      <w:proofErr w:type="spellStart"/>
      <w:r>
        <w:t>Metab</w:t>
      </w:r>
      <w:proofErr w:type="spellEnd"/>
      <w:r>
        <w:t>. 2023;108(12):3090-9.</w:t>
      </w:r>
    </w:p>
    <w:p w14:paraId="25D2B19E" w14:textId="77777777" w:rsidR="00A167F4" w:rsidRDefault="005B33E8">
      <w:pPr>
        <w:pStyle w:val="Body"/>
      </w:pPr>
      <w:r>
        <w:t xml:space="preserve">8. </w:t>
      </w:r>
      <w:r>
        <w:rPr>
          <w:color w:val="212121"/>
          <w:sz w:val="24"/>
          <w:szCs w:val="24"/>
          <w:u w:color="212121"/>
          <w:shd w:val="clear" w:color="auto" w:fill="FFFFFF"/>
        </w:rPr>
        <w:t xml:space="preserve">Miller BS, Blair JC, Rasmussen MH, </w:t>
      </w:r>
      <w:proofErr w:type="spellStart"/>
      <w:r>
        <w:rPr>
          <w:color w:val="212121"/>
          <w:sz w:val="24"/>
          <w:szCs w:val="24"/>
          <w:u w:color="212121"/>
          <w:shd w:val="clear" w:color="auto" w:fill="FFFFFF"/>
        </w:rPr>
        <w:t>Frystyk</w:t>
      </w:r>
      <w:proofErr w:type="spellEnd"/>
      <w:r>
        <w:rPr>
          <w:color w:val="212121"/>
          <w:sz w:val="24"/>
          <w:szCs w:val="24"/>
          <w:u w:color="212121"/>
          <w:shd w:val="clear" w:color="auto" w:fill="FFFFFF"/>
        </w:rPr>
        <w:t xml:space="preserve"> J, </w:t>
      </w:r>
      <w:proofErr w:type="spellStart"/>
      <w:r>
        <w:rPr>
          <w:color w:val="212121"/>
          <w:sz w:val="24"/>
          <w:szCs w:val="24"/>
          <w:u w:color="212121"/>
          <w:shd w:val="clear" w:color="auto" w:fill="FFFFFF"/>
        </w:rPr>
        <w:t>Lemminger</w:t>
      </w:r>
      <w:proofErr w:type="spellEnd"/>
      <w:r>
        <w:rPr>
          <w:color w:val="212121"/>
          <w:sz w:val="24"/>
          <w:szCs w:val="24"/>
          <w:u w:color="212121"/>
          <w:shd w:val="clear" w:color="auto" w:fill="FFFFFF"/>
        </w:rPr>
        <w:t xml:space="preserve"> AK, Maniatis A, Mori J, Böttcher V, Kim HS, Polak M, Horikawa R. Efficacy, safety, and insulin-like growth factor I of weekly </w:t>
      </w:r>
      <w:proofErr w:type="spellStart"/>
      <w:r>
        <w:rPr>
          <w:color w:val="212121"/>
          <w:sz w:val="24"/>
          <w:szCs w:val="24"/>
          <w:u w:color="212121"/>
          <w:shd w:val="clear" w:color="auto" w:fill="FFFFFF"/>
        </w:rPr>
        <w:t>somapacitan</w:t>
      </w:r>
      <w:proofErr w:type="spellEnd"/>
      <w:r>
        <w:rPr>
          <w:color w:val="212121"/>
          <w:sz w:val="24"/>
          <w:szCs w:val="24"/>
          <w:u w:color="212121"/>
          <w:shd w:val="clear" w:color="auto" w:fill="FFFFFF"/>
        </w:rPr>
        <w:t xml:space="preserve"> in children with growth hormone deficiency: 3-year results from REAL4. </w:t>
      </w:r>
      <w:proofErr w:type="spellStart"/>
      <w:r>
        <w:rPr>
          <w:color w:val="212121"/>
          <w:sz w:val="24"/>
          <w:szCs w:val="24"/>
          <w:u w:color="212121"/>
          <w:shd w:val="clear" w:color="auto" w:fill="FFFFFF"/>
        </w:rPr>
        <w:t>Eur</w:t>
      </w:r>
      <w:proofErr w:type="spellEnd"/>
      <w:r>
        <w:rPr>
          <w:color w:val="212121"/>
          <w:sz w:val="24"/>
          <w:szCs w:val="24"/>
          <w:u w:color="212121"/>
          <w:shd w:val="clear" w:color="auto" w:fill="FFFFFF"/>
        </w:rPr>
        <w:t xml:space="preserve"> J </w:t>
      </w:r>
      <w:proofErr w:type="spellStart"/>
      <w:r>
        <w:rPr>
          <w:color w:val="212121"/>
          <w:sz w:val="24"/>
          <w:szCs w:val="24"/>
          <w:u w:color="212121"/>
          <w:shd w:val="clear" w:color="auto" w:fill="FFFFFF"/>
        </w:rPr>
        <w:t>Endocrinol</w:t>
      </w:r>
      <w:proofErr w:type="spellEnd"/>
      <w:r>
        <w:rPr>
          <w:color w:val="212121"/>
          <w:sz w:val="24"/>
          <w:szCs w:val="24"/>
          <w:u w:color="212121"/>
          <w:shd w:val="clear" w:color="auto" w:fill="FFFFFF"/>
        </w:rPr>
        <w:t>. 2025 Apr 30;192(5):651-661</w:t>
      </w:r>
    </w:p>
    <w:p w14:paraId="1EF4B213" w14:textId="77777777" w:rsidR="00A167F4" w:rsidRDefault="005B33E8">
      <w:pPr>
        <w:pStyle w:val="Body"/>
      </w:pPr>
      <w:r>
        <w:t xml:space="preserve">9. Deal CL, </w:t>
      </w:r>
      <w:proofErr w:type="spellStart"/>
      <w:r>
        <w:t>Steelman</w:t>
      </w:r>
      <w:proofErr w:type="spellEnd"/>
      <w:r>
        <w:t xml:space="preserve"> J, </w:t>
      </w:r>
      <w:proofErr w:type="spellStart"/>
      <w:r>
        <w:t>Vlachopapadopoulou</w:t>
      </w:r>
      <w:proofErr w:type="spellEnd"/>
      <w:r>
        <w:t xml:space="preserve"> E, </w:t>
      </w:r>
      <w:proofErr w:type="spellStart"/>
      <w:r>
        <w:t>Stawerska</w:t>
      </w:r>
      <w:proofErr w:type="spellEnd"/>
      <w:r>
        <w:t xml:space="preserve"> R, Silverman LA, Phillip M, Kim HS, </w:t>
      </w:r>
      <w:proofErr w:type="spellStart"/>
      <w:r>
        <w:t>Ko</w:t>
      </w:r>
      <w:proofErr w:type="spellEnd"/>
      <w:r>
        <w:t xml:space="preserve"> C, </w:t>
      </w:r>
      <w:proofErr w:type="spellStart"/>
      <w:r>
        <w:t>Malievskiy</w:t>
      </w:r>
      <w:proofErr w:type="spellEnd"/>
      <w:r>
        <w:t xml:space="preserve"> O, Cara JF, Roland CL, Taylor CT, </w:t>
      </w:r>
      <w:proofErr w:type="spellStart"/>
      <w:r>
        <w:t>Valluri</w:t>
      </w:r>
      <w:proofErr w:type="spellEnd"/>
      <w:r>
        <w:t xml:space="preserve"> SR, </w:t>
      </w:r>
      <w:proofErr w:type="spellStart"/>
      <w:r>
        <w:t>Wajnrajch</w:t>
      </w:r>
      <w:proofErr w:type="spellEnd"/>
      <w:r>
        <w:t xml:space="preserve"> MP, </w:t>
      </w:r>
      <w:proofErr w:type="spellStart"/>
      <w:r>
        <w:t>Pastrak</w:t>
      </w:r>
      <w:proofErr w:type="spellEnd"/>
      <w:r>
        <w:t xml:space="preserve"> A, Miller BS. Efficacy and Safety of Weekly </w:t>
      </w:r>
      <w:proofErr w:type="spellStart"/>
      <w:r>
        <w:t>Somatrogon</w:t>
      </w:r>
      <w:proofErr w:type="spellEnd"/>
      <w:r>
        <w:t xml:space="preserve"> vs Daily </w:t>
      </w:r>
      <w:proofErr w:type="spellStart"/>
      <w:r>
        <w:t>Somatropin</w:t>
      </w:r>
      <w:proofErr w:type="spellEnd"/>
      <w:r>
        <w:t xml:space="preserve"> in Children </w:t>
      </w:r>
      <w:proofErr w:type="gramStart"/>
      <w:r>
        <w:t>With</w:t>
      </w:r>
      <w:proofErr w:type="gramEnd"/>
      <w:r>
        <w:t xml:space="preserve"> Growth Hormone Deficiency: A Phase 3 Study. J Clin </w:t>
      </w:r>
      <w:proofErr w:type="spellStart"/>
      <w:r>
        <w:t>Endocrinol</w:t>
      </w:r>
      <w:proofErr w:type="spellEnd"/>
      <w:r>
        <w:t xml:space="preserve"> </w:t>
      </w:r>
      <w:proofErr w:type="spellStart"/>
      <w:r>
        <w:t>Metab</w:t>
      </w:r>
      <w:proofErr w:type="spellEnd"/>
      <w:r>
        <w:t>. 2022 Jun 16</w:t>
      </w:r>
      <w:proofErr w:type="gramStart"/>
      <w:r>
        <w:t>;107</w:t>
      </w:r>
      <w:proofErr w:type="gramEnd"/>
      <w:r>
        <w:t>(7):e2717-e2728.</w:t>
      </w:r>
    </w:p>
    <w:p w14:paraId="2C6034CE" w14:textId="77777777" w:rsidR="00A167F4" w:rsidRDefault="005B33E8">
      <w:pPr>
        <w:pStyle w:val="Body"/>
      </w:pPr>
      <w:r>
        <w:t xml:space="preserve">10. </w:t>
      </w:r>
      <w:proofErr w:type="spellStart"/>
      <w:r>
        <w:t>Zadik</w:t>
      </w:r>
      <w:proofErr w:type="spellEnd"/>
      <w:r>
        <w:t xml:space="preserve"> Z, </w:t>
      </w:r>
      <w:proofErr w:type="spellStart"/>
      <w:r>
        <w:t>Zelinska</w:t>
      </w:r>
      <w:proofErr w:type="spellEnd"/>
      <w:r>
        <w:t xml:space="preserve"> N, </w:t>
      </w:r>
      <w:proofErr w:type="spellStart"/>
      <w:r>
        <w:t>Iotova</w:t>
      </w:r>
      <w:proofErr w:type="spellEnd"/>
      <w:r>
        <w:t xml:space="preserve"> V, </w:t>
      </w:r>
      <w:proofErr w:type="spellStart"/>
      <w:r>
        <w:t>Skorodok</w:t>
      </w:r>
      <w:proofErr w:type="spellEnd"/>
      <w:r>
        <w:t xml:space="preserve"> Y, </w:t>
      </w:r>
      <w:proofErr w:type="spellStart"/>
      <w:r>
        <w:t>Malievsky</w:t>
      </w:r>
      <w:proofErr w:type="spellEnd"/>
      <w:r>
        <w:t xml:space="preserve"> O, Mauras N, </w:t>
      </w:r>
      <w:proofErr w:type="spellStart"/>
      <w:r>
        <w:t>Valluri</w:t>
      </w:r>
      <w:proofErr w:type="spellEnd"/>
      <w:r>
        <w:t xml:space="preserve"> SR, </w:t>
      </w:r>
      <w:proofErr w:type="spellStart"/>
      <w:r>
        <w:t>Pastrak</w:t>
      </w:r>
      <w:proofErr w:type="spellEnd"/>
      <w:r>
        <w:t xml:space="preserve"> A, Rosenfeld R. An open-label extension of a phase 2 dose-finding study of once-weekly </w:t>
      </w:r>
      <w:proofErr w:type="spellStart"/>
      <w:r>
        <w:t>somatrogon</w:t>
      </w:r>
      <w:proofErr w:type="spellEnd"/>
      <w:r>
        <w:t xml:space="preserve"> vs. once-daily Genotropin in children with short stature due to growth hormone deficiency: results following 5 years of treatment. J </w:t>
      </w:r>
      <w:proofErr w:type="spellStart"/>
      <w:r>
        <w:t>Pediatr</w:t>
      </w:r>
      <w:proofErr w:type="spellEnd"/>
      <w:r>
        <w:t xml:space="preserve"> </w:t>
      </w:r>
      <w:proofErr w:type="spellStart"/>
      <w:r>
        <w:t>Endocrinol</w:t>
      </w:r>
      <w:proofErr w:type="spellEnd"/>
      <w:r>
        <w:t xml:space="preserve"> </w:t>
      </w:r>
      <w:proofErr w:type="spellStart"/>
      <w:r>
        <w:t>Metab</w:t>
      </w:r>
      <w:proofErr w:type="spellEnd"/>
      <w:r>
        <w:t>. 2023 Feb 3;36(3):261-269.</w:t>
      </w:r>
    </w:p>
    <w:p w14:paraId="01D69BA1" w14:textId="77777777" w:rsidR="00A167F4" w:rsidRDefault="005B33E8">
      <w:pPr>
        <w:pStyle w:val="Body"/>
      </w:pPr>
      <w:r>
        <w:t xml:space="preserve">11. </w:t>
      </w:r>
      <w:proofErr w:type="spellStart"/>
      <w:r>
        <w:t>Maniatis</w:t>
      </w:r>
      <w:proofErr w:type="spellEnd"/>
      <w:r>
        <w:t xml:space="preserve"> A, </w:t>
      </w:r>
      <w:proofErr w:type="spellStart"/>
      <w:r>
        <w:t>Cutfield</w:t>
      </w:r>
      <w:proofErr w:type="spellEnd"/>
      <w:r>
        <w:t xml:space="preserve"> W, </w:t>
      </w:r>
      <w:proofErr w:type="spellStart"/>
      <w:r>
        <w:t>Dattani</w:t>
      </w:r>
      <w:proofErr w:type="spellEnd"/>
      <w:r>
        <w:t xml:space="preserve"> M, Deal C, Collett-Solberg PF, Horikawa R, et al. Long-Acting Growth Hormone Therapy in Pediatric Growth Hormone Deficiency: A Consensus Statement. J Clin </w:t>
      </w:r>
      <w:proofErr w:type="spellStart"/>
      <w:r>
        <w:t>Endocrinol</w:t>
      </w:r>
      <w:proofErr w:type="spellEnd"/>
      <w:r>
        <w:t xml:space="preserve"> </w:t>
      </w:r>
      <w:proofErr w:type="spellStart"/>
      <w:r>
        <w:t>Metab</w:t>
      </w:r>
      <w:proofErr w:type="spellEnd"/>
      <w:r>
        <w:t>. 2025</w:t>
      </w:r>
      <w:proofErr w:type="gramStart"/>
      <w:r>
        <w:t>;110</w:t>
      </w:r>
      <w:proofErr w:type="gramEnd"/>
      <w:r>
        <w:t>(4):e1232-e40.</w:t>
      </w:r>
    </w:p>
    <w:p w14:paraId="0BA22962" w14:textId="77777777" w:rsidR="003068BB" w:rsidRDefault="003068BB">
      <w:pPr>
        <w:pStyle w:val="Body"/>
        <w:rPr>
          <w:rFonts w:ascii="Arial Unicode MS" w:hAnsi="Arial Unicode MS"/>
        </w:rPr>
      </w:pPr>
    </w:p>
    <w:p w14:paraId="74ED5FB5" w14:textId="77777777" w:rsidR="003068BB" w:rsidRDefault="003068BB">
      <w:pPr>
        <w:pStyle w:val="Body"/>
        <w:rPr>
          <w:rFonts w:ascii="Arial Unicode MS" w:hAnsi="Arial Unicode MS"/>
        </w:rPr>
      </w:pPr>
    </w:p>
    <w:p w14:paraId="211D2C55" w14:textId="6F79655C" w:rsidR="00A167F4" w:rsidRDefault="003068BB">
      <w:pPr>
        <w:pStyle w:val="Body"/>
        <w:rPr>
          <w:rFonts w:ascii="Arial Unicode MS" w:hAnsi="Arial Unicode MS"/>
        </w:rPr>
      </w:pPr>
      <w:r>
        <w:rPr>
          <w:rFonts w:ascii="Arial Unicode MS" w:hAnsi="Arial Unicode MS"/>
        </w:rPr>
        <w:t xml:space="preserve">Written and prepared by </w:t>
      </w:r>
      <w:r>
        <w:rPr>
          <w:rFonts w:ascii="Helvetica" w:hAnsi="Helvetica"/>
          <w:color w:val="222222"/>
          <w:sz w:val="21"/>
          <w:szCs w:val="21"/>
          <w:shd w:val="clear" w:color="auto" w:fill="FFFFFF"/>
        </w:rPr>
        <w:t xml:space="preserve">Dania </w:t>
      </w:r>
      <w:proofErr w:type="spellStart"/>
      <w:r>
        <w:rPr>
          <w:rFonts w:ascii="Helvetica" w:hAnsi="Helvetica"/>
          <w:color w:val="222222"/>
          <w:sz w:val="21"/>
          <w:szCs w:val="21"/>
          <w:shd w:val="clear" w:color="auto" w:fill="FFFFFF"/>
        </w:rPr>
        <w:t>A</w:t>
      </w:r>
      <w:r>
        <w:rPr>
          <w:rFonts w:ascii="Helvetica" w:hAnsi="Helvetica"/>
          <w:color w:val="222222"/>
          <w:sz w:val="21"/>
          <w:szCs w:val="21"/>
          <w:shd w:val="clear" w:color="auto" w:fill="FFFFFF"/>
        </w:rPr>
        <w:t>lhamad</w:t>
      </w:r>
      <w:proofErr w:type="spellEnd"/>
      <w:r>
        <w:rPr>
          <w:rFonts w:ascii="Helvetica" w:hAnsi="Helvetica"/>
          <w:color w:val="222222"/>
          <w:sz w:val="21"/>
          <w:szCs w:val="21"/>
          <w:shd w:val="clear" w:color="auto" w:fill="FFFFFF"/>
        </w:rPr>
        <w:t>, Casey Berman, Neha Patel, and Emily Breidbart</w:t>
      </w:r>
      <w:r w:rsidR="005B33E8">
        <w:rPr>
          <w:rFonts w:ascii="Arial Unicode MS" w:hAnsi="Arial Unicode MS"/>
        </w:rPr>
        <w:br w:type="page"/>
      </w:r>
    </w:p>
    <w:p w14:paraId="773A7F3C" w14:textId="77777777" w:rsidR="00A167F4" w:rsidRDefault="005B33E8">
      <w:pPr>
        <w:pStyle w:val="Body"/>
        <w:spacing w:after="160" w:line="278" w:lineRule="auto"/>
        <w:rPr>
          <w:b/>
          <w:bCs/>
        </w:rPr>
      </w:pPr>
      <w:r>
        <w:rPr>
          <w:b/>
          <w:bCs/>
        </w:rPr>
        <w:t>Weekly Growth Hormone Options</w:t>
      </w:r>
    </w:p>
    <w:tbl>
      <w:tblPr>
        <w:tblW w:w="12950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1742"/>
        <w:gridCol w:w="1178"/>
        <w:gridCol w:w="1262"/>
        <w:gridCol w:w="1784"/>
        <w:gridCol w:w="1516"/>
        <w:gridCol w:w="1395"/>
        <w:gridCol w:w="1781"/>
        <w:gridCol w:w="1230"/>
        <w:gridCol w:w="1062"/>
      </w:tblGrid>
      <w:tr w:rsidR="00A167F4" w14:paraId="4AFAD675" w14:textId="77777777">
        <w:trPr>
          <w:trHeight w:val="850"/>
        </w:trPr>
        <w:tc>
          <w:tcPr>
            <w:tcW w:w="174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A302725" w14:textId="77777777" w:rsidR="00A167F4" w:rsidRDefault="005B33E8">
            <w:pPr>
              <w:pStyle w:val="Body"/>
              <w:jc w:val="center"/>
            </w:pPr>
            <w:r>
              <w:rPr>
                <w:rFonts w:ascii="Cambria" w:hAnsi="Cambria"/>
                <w:b/>
                <w:bCs/>
                <w:kern w:val="2"/>
                <w:sz w:val="24"/>
                <w:szCs w:val="24"/>
              </w:rPr>
              <w:t>Drug</w:t>
            </w:r>
          </w:p>
        </w:tc>
        <w:tc>
          <w:tcPr>
            <w:tcW w:w="117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45A8424" w14:textId="77777777" w:rsidR="00A167F4" w:rsidRDefault="005B33E8">
            <w:pPr>
              <w:pStyle w:val="Body"/>
              <w:spacing w:line="240" w:lineRule="auto"/>
              <w:jc w:val="center"/>
            </w:pPr>
            <w:r>
              <w:rPr>
                <w:rFonts w:ascii="Cambria" w:hAnsi="Cambria"/>
                <w:b/>
                <w:bCs/>
                <w:kern w:val="2"/>
                <w:sz w:val="24"/>
                <w:szCs w:val="24"/>
              </w:rPr>
              <w:t>FDA Approval</w:t>
            </w:r>
          </w:p>
        </w:tc>
        <w:tc>
          <w:tcPr>
            <w:tcW w:w="12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F8C40C7" w14:textId="77777777" w:rsidR="00A167F4" w:rsidRDefault="005B33E8">
            <w:pPr>
              <w:pStyle w:val="Body"/>
              <w:spacing w:line="240" w:lineRule="auto"/>
              <w:jc w:val="center"/>
            </w:pPr>
            <w:r>
              <w:rPr>
                <w:rFonts w:ascii="Cambria" w:hAnsi="Cambria"/>
                <w:b/>
                <w:bCs/>
                <w:kern w:val="2"/>
                <w:sz w:val="24"/>
                <w:szCs w:val="24"/>
              </w:rPr>
              <w:t>Approved For</w:t>
            </w:r>
          </w:p>
        </w:tc>
        <w:tc>
          <w:tcPr>
            <w:tcW w:w="178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29DFB1F" w14:textId="77777777" w:rsidR="00A167F4" w:rsidRDefault="005B33E8">
            <w:pPr>
              <w:pStyle w:val="Body"/>
              <w:spacing w:line="240" w:lineRule="auto"/>
              <w:jc w:val="center"/>
            </w:pPr>
            <w:r>
              <w:rPr>
                <w:rFonts w:ascii="Cambria" w:hAnsi="Cambria"/>
                <w:b/>
                <w:bCs/>
                <w:kern w:val="2"/>
                <w:sz w:val="24"/>
                <w:szCs w:val="24"/>
              </w:rPr>
              <w:t>Device</w:t>
            </w:r>
          </w:p>
        </w:tc>
        <w:tc>
          <w:tcPr>
            <w:tcW w:w="151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1B78C29" w14:textId="77777777" w:rsidR="00A167F4" w:rsidRDefault="005B33E8">
            <w:pPr>
              <w:pStyle w:val="Body"/>
              <w:spacing w:line="240" w:lineRule="auto"/>
              <w:jc w:val="center"/>
            </w:pPr>
            <w:r>
              <w:rPr>
                <w:rFonts w:ascii="Cambria" w:hAnsi="Cambria"/>
                <w:b/>
                <w:bCs/>
                <w:kern w:val="2"/>
                <w:sz w:val="24"/>
                <w:szCs w:val="24"/>
              </w:rPr>
              <w:t>Dosing</w:t>
            </w:r>
          </w:p>
        </w:tc>
        <w:tc>
          <w:tcPr>
            <w:tcW w:w="139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988C7B4" w14:textId="77777777" w:rsidR="00A167F4" w:rsidRDefault="005B33E8">
            <w:pPr>
              <w:pStyle w:val="Body"/>
              <w:spacing w:line="240" w:lineRule="auto"/>
              <w:jc w:val="center"/>
            </w:pPr>
            <w:r>
              <w:rPr>
                <w:rFonts w:ascii="Cambria" w:hAnsi="Cambria"/>
                <w:b/>
                <w:bCs/>
                <w:kern w:val="2"/>
                <w:sz w:val="24"/>
                <w:szCs w:val="24"/>
              </w:rPr>
              <w:t>Efficacy</w:t>
            </w:r>
          </w:p>
        </w:tc>
        <w:tc>
          <w:tcPr>
            <w:tcW w:w="178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F6210D2" w14:textId="77777777" w:rsidR="00A167F4" w:rsidRDefault="005B33E8">
            <w:pPr>
              <w:pStyle w:val="Body"/>
              <w:spacing w:line="240" w:lineRule="auto"/>
              <w:jc w:val="center"/>
            </w:pPr>
            <w:r>
              <w:rPr>
                <w:rFonts w:ascii="Cambria" w:hAnsi="Cambria"/>
                <w:b/>
                <w:bCs/>
                <w:kern w:val="2"/>
                <w:sz w:val="24"/>
                <w:szCs w:val="24"/>
              </w:rPr>
              <w:t>Safety</w:t>
            </w:r>
          </w:p>
        </w:tc>
        <w:tc>
          <w:tcPr>
            <w:tcW w:w="123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02C0641" w14:textId="77777777" w:rsidR="00A167F4" w:rsidRDefault="005B33E8">
            <w:pPr>
              <w:pStyle w:val="Body"/>
              <w:spacing w:line="240" w:lineRule="auto"/>
              <w:jc w:val="center"/>
            </w:pPr>
            <w:r>
              <w:rPr>
                <w:rFonts w:ascii="Cambria" w:hAnsi="Cambria"/>
                <w:b/>
                <w:bCs/>
                <w:kern w:val="2"/>
                <w:sz w:val="24"/>
                <w:szCs w:val="24"/>
              </w:rPr>
              <w:t>Long-Term Data</w:t>
            </w:r>
          </w:p>
        </w:tc>
        <w:tc>
          <w:tcPr>
            <w:tcW w:w="10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3F8CDC6" w14:textId="77777777" w:rsidR="00A167F4" w:rsidRDefault="005B33E8">
            <w:pPr>
              <w:pStyle w:val="Body"/>
              <w:spacing w:line="240" w:lineRule="auto"/>
              <w:jc w:val="center"/>
            </w:pPr>
            <w:r>
              <w:rPr>
                <w:rFonts w:ascii="Cambria" w:hAnsi="Cambria"/>
                <w:b/>
                <w:bCs/>
                <w:kern w:val="2"/>
                <w:sz w:val="24"/>
                <w:szCs w:val="24"/>
              </w:rPr>
              <w:t>IGF-1 Level</w:t>
            </w:r>
          </w:p>
        </w:tc>
      </w:tr>
      <w:tr w:rsidR="00A167F4" w14:paraId="40149022" w14:textId="77777777">
        <w:trPr>
          <w:trHeight w:val="2810"/>
        </w:trPr>
        <w:tc>
          <w:tcPr>
            <w:tcW w:w="174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40222D2" w14:textId="77777777" w:rsidR="00A167F4" w:rsidRDefault="005B33E8">
            <w:pPr>
              <w:pStyle w:val="Body"/>
              <w:spacing w:before="120" w:after="100" w:line="240" w:lineRule="auto"/>
            </w:pPr>
            <w:proofErr w:type="spellStart"/>
            <w:r>
              <w:rPr>
                <w:rFonts w:ascii="Cambria" w:hAnsi="Cambria"/>
                <w:b/>
                <w:bCs/>
                <w:kern w:val="2"/>
                <w:sz w:val="24"/>
                <w:szCs w:val="24"/>
              </w:rPr>
              <w:t>Skytrofa</w:t>
            </w:r>
            <w:proofErr w:type="spellEnd"/>
            <w:r>
              <w:rPr>
                <w:rFonts w:ascii="Cambria" w:hAnsi="Cambria"/>
                <w:b/>
                <w:bCs/>
                <w:kern w:val="2"/>
                <w:sz w:val="24"/>
                <w:szCs w:val="24"/>
              </w:rPr>
              <w:t xml:space="preserve"> </w:t>
            </w:r>
            <w:r>
              <w:rPr>
                <w:rFonts w:ascii="Cambria" w:hAnsi="Cambria"/>
                <w:kern w:val="2"/>
                <w:sz w:val="24"/>
                <w:szCs w:val="24"/>
              </w:rPr>
              <w:t>(</w:t>
            </w:r>
            <w:proofErr w:type="spellStart"/>
            <w:r>
              <w:rPr>
                <w:rFonts w:ascii="Cambria" w:hAnsi="Cambria"/>
                <w:b/>
                <w:bCs/>
                <w:kern w:val="2"/>
                <w:sz w:val="24"/>
                <w:szCs w:val="24"/>
              </w:rPr>
              <w:t>Lonapeg-somatropin</w:t>
            </w:r>
            <w:proofErr w:type="spellEnd"/>
            <w:r>
              <w:rPr>
                <w:rFonts w:ascii="Cambria" w:hAnsi="Cambria"/>
                <w:kern w:val="2"/>
                <w:sz w:val="24"/>
                <w:szCs w:val="24"/>
              </w:rPr>
              <w:t>)</w:t>
            </w:r>
          </w:p>
        </w:tc>
        <w:tc>
          <w:tcPr>
            <w:tcW w:w="117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0FE7D60" w14:textId="77777777" w:rsidR="00A167F4" w:rsidRDefault="005B33E8">
            <w:pPr>
              <w:pStyle w:val="Body"/>
              <w:spacing w:before="120" w:line="240" w:lineRule="auto"/>
            </w:pPr>
            <w:r>
              <w:rPr>
                <w:rFonts w:ascii="Cambria" w:hAnsi="Cambria"/>
                <w:kern w:val="2"/>
                <w:sz w:val="24"/>
                <w:szCs w:val="24"/>
              </w:rPr>
              <w:t>Aug 2021</w:t>
            </w:r>
          </w:p>
        </w:tc>
        <w:tc>
          <w:tcPr>
            <w:tcW w:w="12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E1C905C" w14:textId="77777777" w:rsidR="00A167F4" w:rsidRDefault="005B33E8">
            <w:pPr>
              <w:pStyle w:val="Body"/>
              <w:spacing w:line="240" w:lineRule="auto"/>
              <w:rPr>
                <w:rFonts w:ascii="Cambria" w:eastAsia="Cambria" w:hAnsi="Cambria" w:cs="Cambria"/>
                <w:kern w:val="2"/>
                <w:sz w:val="24"/>
                <w:szCs w:val="24"/>
              </w:rPr>
            </w:pPr>
            <w:r>
              <w:rPr>
                <w:rFonts w:ascii="Cambria" w:hAnsi="Cambria"/>
                <w:kern w:val="2"/>
                <w:sz w:val="24"/>
                <w:szCs w:val="24"/>
              </w:rPr>
              <w:t xml:space="preserve">GHD </w:t>
            </w:r>
          </w:p>
          <w:p w14:paraId="18DAF403" w14:textId="77777777" w:rsidR="00A167F4" w:rsidRDefault="005B33E8">
            <w:pPr>
              <w:pStyle w:val="Body"/>
              <w:spacing w:line="240" w:lineRule="auto"/>
            </w:pPr>
            <w:r>
              <w:rPr>
                <w:rFonts w:ascii="Cambria" w:hAnsi="Cambria"/>
                <w:kern w:val="2"/>
                <w:sz w:val="24"/>
                <w:szCs w:val="24"/>
              </w:rPr>
              <w:t>≥1 yr, ≥11.5 kg</w:t>
            </w:r>
          </w:p>
        </w:tc>
        <w:tc>
          <w:tcPr>
            <w:tcW w:w="178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2CFE1B8" w14:textId="77777777" w:rsidR="00A167F4" w:rsidRDefault="005B33E8">
            <w:pPr>
              <w:pStyle w:val="Body"/>
              <w:spacing w:line="240" w:lineRule="auto"/>
            </w:pPr>
            <w:r>
              <w:rPr>
                <w:rFonts w:ascii="Cambria" w:hAnsi="Cambria"/>
                <w:kern w:val="2"/>
                <w:sz w:val="24"/>
                <w:szCs w:val="24"/>
              </w:rPr>
              <w:t xml:space="preserve">Auto-injector with dual-chamber cartridge (3–13.3 mg). Requires reconstitution; use within 4 </w:t>
            </w:r>
            <w:proofErr w:type="spellStart"/>
            <w:r>
              <w:rPr>
                <w:rFonts w:ascii="Cambria" w:hAnsi="Cambria"/>
                <w:kern w:val="2"/>
                <w:sz w:val="24"/>
                <w:szCs w:val="24"/>
              </w:rPr>
              <w:t>hrs</w:t>
            </w:r>
            <w:proofErr w:type="spellEnd"/>
            <w:r>
              <w:rPr>
                <w:rFonts w:ascii="Cambria" w:hAnsi="Cambria"/>
                <w:kern w:val="2"/>
                <w:sz w:val="24"/>
                <w:szCs w:val="24"/>
              </w:rPr>
              <w:t>; room temp stable.</w:t>
            </w:r>
          </w:p>
        </w:tc>
        <w:tc>
          <w:tcPr>
            <w:tcW w:w="151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C132663" w14:textId="77777777" w:rsidR="00A167F4" w:rsidRDefault="005B33E8">
            <w:pPr>
              <w:pStyle w:val="Body"/>
              <w:spacing w:line="240" w:lineRule="auto"/>
            </w:pPr>
            <w:r>
              <w:rPr>
                <w:rFonts w:ascii="Cambria" w:hAnsi="Cambria"/>
                <w:kern w:val="2"/>
                <w:sz w:val="24"/>
                <w:szCs w:val="24"/>
              </w:rPr>
              <w:t>0.24 mg/kg/</w:t>
            </w:r>
            <w:proofErr w:type="spellStart"/>
            <w:r>
              <w:rPr>
                <w:rFonts w:ascii="Cambria" w:hAnsi="Cambria"/>
                <w:kern w:val="2"/>
                <w:sz w:val="24"/>
                <w:szCs w:val="24"/>
              </w:rPr>
              <w:t>wk</w:t>
            </w:r>
            <w:proofErr w:type="spellEnd"/>
          </w:p>
        </w:tc>
        <w:tc>
          <w:tcPr>
            <w:tcW w:w="139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5B475F0" w14:textId="77777777" w:rsidR="00A167F4" w:rsidRDefault="005B33E8">
            <w:pPr>
              <w:pStyle w:val="Body"/>
              <w:spacing w:line="240" w:lineRule="auto"/>
            </w:pPr>
            <w:r>
              <w:rPr>
                <w:rFonts w:ascii="Cambria" w:hAnsi="Cambria"/>
                <w:kern w:val="2"/>
                <w:sz w:val="24"/>
                <w:szCs w:val="24"/>
              </w:rPr>
              <w:t>Superior &amp; noninferior to daily GH (</w:t>
            </w:r>
            <w:proofErr w:type="spellStart"/>
            <w:r>
              <w:rPr>
                <w:rFonts w:ascii="Cambria" w:hAnsi="Cambria"/>
                <w:kern w:val="2"/>
                <w:sz w:val="24"/>
                <w:szCs w:val="24"/>
              </w:rPr>
              <w:t>heiGHt</w:t>
            </w:r>
            <w:proofErr w:type="spellEnd"/>
            <w:r>
              <w:rPr>
                <w:rFonts w:ascii="Cambria" w:hAnsi="Cambria"/>
                <w:kern w:val="2"/>
                <w:sz w:val="24"/>
                <w:szCs w:val="24"/>
              </w:rPr>
              <w:t xml:space="preserve"> trial, 52 </w:t>
            </w:r>
            <w:proofErr w:type="spellStart"/>
            <w:r>
              <w:rPr>
                <w:rFonts w:ascii="Cambria" w:hAnsi="Cambria"/>
                <w:kern w:val="2"/>
                <w:sz w:val="24"/>
                <w:szCs w:val="24"/>
              </w:rPr>
              <w:t>wks</w:t>
            </w:r>
            <w:proofErr w:type="spellEnd"/>
            <w:r>
              <w:rPr>
                <w:rFonts w:ascii="Cambria" w:hAnsi="Cambria"/>
                <w:kern w:val="2"/>
                <w:sz w:val="24"/>
                <w:szCs w:val="24"/>
              </w:rPr>
              <w:t>)</w:t>
            </w:r>
          </w:p>
        </w:tc>
        <w:tc>
          <w:tcPr>
            <w:tcW w:w="178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71D4717" w14:textId="77777777" w:rsidR="00A167F4" w:rsidRDefault="005B33E8">
            <w:pPr>
              <w:pStyle w:val="Body"/>
              <w:spacing w:line="240" w:lineRule="auto"/>
            </w:pPr>
            <w:r>
              <w:rPr>
                <w:rFonts w:ascii="Cambria" w:hAnsi="Cambria"/>
                <w:kern w:val="2"/>
                <w:sz w:val="24"/>
                <w:szCs w:val="24"/>
              </w:rPr>
              <w:t>No SAEs; common: URI, fever, headache</w:t>
            </w:r>
          </w:p>
        </w:tc>
        <w:tc>
          <w:tcPr>
            <w:tcW w:w="123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93CFB18" w14:textId="77777777" w:rsidR="00A167F4" w:rsidRDefault="005B33E8">
            <w:pPr>
              <w:pStyle w:val="Body"/>
              <w:spacing w:line="240" w:lineRule="auto"/>
            </w:pPr>
            <w:r>
              <w:rPr>
                <w:rFonts w:ascii="Cambria" w:hAnsi="Cambria"/>
                <w:kern w:val="2"/>
                <w:sz w:val="24"/>
                <w:szCs w:val="24"/>
              </w:rPr>
              <w:t>Sustained growth &amp; safety in extension trial</w:t>
            </w:r>
          </w:p>
        </w:tc>
        <w:tc>
          <w:tcPr>
            <w:tcW w:w="10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79BB56" w14:textId="77777777" w:rsidR="00A167F4" w:rsidRDefault="005B33E8">
            <w:pPr>
              <w:pStyle w:val="Body"/>
              <w:spacing w:before="120" w:line="240" w:lineRule="auto"/>
            </w:pPr>
            <w:r>
              <w:rPr>
                <w:rFonts w:ascii="Cambria" w:hAnsi="Cambria"/>
                <w:kern w:val="2"/>
                <w:sz w:val="24"/>
                <w:szCs w:val="24"/>
              </w:rPr>
              <w:t>Day 4–5</w:t>
            </w:r>
          </w:p>
        </w:tc>
      </w:tr>
      <w:tr w:rsidR="00A167F4" w14:paraId="3641360C" w14:textId="77777777">
        <w:trPr>
          <w:trHeight w:val="1690"/>
        </w:trPr>
        <w:tc>
          <w:tcPr>
            <w:tcW w:w="174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FEA4389" w14:textId="77777777" w:rsidR="00A167F4" w:rsidRDefault="005B33E8">
            <w:pPr>
              <w:pStyle w:val="Body"/>
              <w:spacing w:before="120" w:after="100" w:line="240" w:lineRule="auto"/>
            </w:pPr>
            <w:proofErr w:type="spellStart"/>
            <w:r>
              <w:rPr>
                <w:rFonts w:ascii="Cambria" w:hAnsi="Cambria"/>
                <w:b/>
                <w:bCs/>
                <w:kern w:val="2"/>
                <w:sz w:val="24"/>
                <w:szCs w:val="24"/>
              </w:rPr>
              <w:t>Sogroya</w:t>
            </w:r>
            <w:proofErr w:type="spellEnd"/>
            <w:r>
              <w:rPr>
                <w:rFonts w:ascii="Cambria" w:hAnsi="Cambria"/>
                <w:b/>
                <w:bCs/>
                <w:kern w:val="2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Cambria" w:hAnsi="Cambria"/>
                <w:b/>
                <w:bCs/>
                <w:kern w:val="2"/>
                <w:sz w:val="24"/>
                <w:szCs w:val="24"/>
              </w:rPr>
              <w:t>Somapacitan-beco</w:t>
            </w:r>
            <w:proofErr w:type="spellEnd"/>
            <w:r>
              <w:rPr>
                <w:rFonts w:ascii="Cambria" w:hAnsi="Cambria"/>
                <w:b/>
                <w:bCs/>
                <w:kern w:val="2"/>
                <w:sz w:val="24"/>
                <w:szCs w:val="24"/>
              </w:rPr>
              <w:t>)</w:t>
            </w:r>
          </w:p>
        </w:tc>
        <w:tc>
          <w:tcPr>
            <w:tcW w:w="117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92DE126" w14:textId="77777777" w:rsidR="00A167F4" w:rsidRDefault="005B33E8">
            <w:pPr>
              <w:pStyle w:val="Body"/>
              <w:spacing w:before="120" w:line="240" w:lineRule="auto"/>
            </w:pPr>
            <w:r>
              <w:rPr>
                <w:rFonts w:ascii="Cambria" w:hAnsi="Cambria"/>
                <w:kern w:val="2"/>
                <w:sz w:val="24"/>
                <w:szCs w:val="24"/>
              </w:rPr>
              <w:t>Apr 2023</w:t>
            </w:r>
          </w:p>
        </w:tc>
        <w:tc>
          <w:tcPr>
            <w:tcW w:w="12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0232461" w14:textId="77777777" w:rsidR="00A167F4" w:rsidRDefault="005B33E8">
            <w:pPr>
              <w:pStyle w:val="Body"/>
              <w:spacing w:line="240" w:lineRule="auto"/>
              <w:rPr>
                <w:rFonts w:ascii="Cambria" w:eastAsia="Cambria" w:hAnsi="Cambria" w:cs="Cambria"/>
                <w:kern w:val="2"/>
                <w:sz w:val="24"/>
                <w:szCs w:val="24"/>
              </w:rPr>
            </w:pPr>
            <w:r>
              <w:rPr>
                <w:rFonts w:ascii="Cambria" w:hAnsi="Cambria"/>
                <w:kern w:val="2"/>
                <w:sz w:val="24"/>
                <w:szCs w:val="24"/>
              </w:rPr>
              <w:t xml:space="preserve">GHD </w:t>
            </w:r>
          </w:p>
          <w:p w14:paraId="1F377236" w14:textId="77777777" w:rsidR="00A167F4" w:rsidRDefault="005B33E8">
            <w:pPr>
              <w:pStyle w:val="Body"/>
              <w:spacing w:line="240" w:lineRule="auto"/>
            </w:pPr>
            <w:r>
              <w:rPr>
                <w:rFonts w:ascii="Cambria" w:hAnsi="Cambria"/>
                <w:kern w:val="2"/>
                <w:sz w:val="24"/>
                <w:szCs w:val="24"/>
              </w:rPr>
              <w:t>≥1 yr, ≥11.5 kg</w:t>
            </w:r>
          </w:p>
        </w:tc>
        <w:tc>
          <w:tcPr>
            <w:tcW w:w="178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D253458" w14:textId="77777777" w:rsidR="00A167F4" w:rsidRDefault="005B33E8">
            <w:pPr>
              <w:pStyle w:val="Body"/>
              <w:spacing w:line="240" w:lineRule="auto"/>
            </w:pPr>
            <w:proofErr w:type="spellStart"/>
            <w:r>
              <w:rPr>
                <w:rFonts w:ascii="Cambria" w:hAnsi="Cambria"/>
                <w:kern w:val="2"/>
                <w:sz w:val="24"/>
                <w:szCs w:val="24"/>
              </w:rPr>
              <w:t>FlexPro</w:t>
            </w:r>
            <w:proofErr w:type="spellEnd"/>
            <w:r>
              <w:rPr>
                <w:rFonts w:ascii="Cambria" w:hAnsi="Cambria"/>
                <w:kern w:val="2"/>
                <w:sz w:val="24"/>
                <w:szCs w:val="24"/>
              </w:rPr>
              <w:t xml:space="preserve"> multi-dose pen (5, 10, 15 mg). No reconstitution; stable 72 </w:t>
            </w:r>
            <w:proofErr w:type="spellStart"/>
            <w:r>
              <w:rPr>
                <w:rFonts w:ascii="Cambria" w:hAnsi="Cambria"/>
                <w:kern w:val="2"/>
                <w:sz w:val="24"/>
                <w:szCs w:val="24"/>
              </w:rPr>
              <w:t>hrs</w:t>
            </w:r>
            <w:proofErr w:type="spellEnd"/>
            <w:r>
              <w:rPr>
                <w:rFonts w:ascii="Cambria" w:hAnsi="Cambria"/>
                <w:kern w:val="2"/>
                <w:sz w:val="24"/>
                <w:szCs w:val="24"/>
              </w:rPr>
              <w:t xml:space="preserve"> at room temp.</w:t>
            </w:r>
          </w:p>
        </w:tc>
        <w:tc>
          <w:tcPr>
            <w:tcW w:w="151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755ECB0" w14:textId="77777777" w:rsidR="00A167F4" w:rsidRDefault="005B33E8">
            <w:pPr>
              <w:pStyle w:val="Body"/>
              <w:spacing w:line="240" w:lineRule="auto"/>
            </w:pPr>
            <w:r>
              <w:rPr>
                <w:rFonts w:ascii="Cambria" w:hAnsi="Cambria"/>
                <w:kern w:val="2"/>
                <w:sz w:val="24"/>
                <w:szCs w:val="24"/>
              </w:rPr>
              <w:t>0.16 mg/kg/</w:t>
            </w:r>
            <w:proofErr w:type="spellStart"/>
            <w:r>
              <w:rPr>
                <w:rFonts w:ascii="Cambria" w:hAnsi="Cambria"/>
                <w:kern w:val="2"/>
                <w:sz w:val="24"/>
                <w:szCs w:val="24"/>
              </w:rPr>
              <w:t>wk</w:t>
            </w:r>
            <w:proofErr w:type="spellEnd"/>
          </w:p>
        </w:tc>
        <w:tc>
          <w:tcPr>
            <w:tcW w:w="139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665D1D1" w14:textId="77777777" w:rsidR="00A167F4" w:rsidRDefault="005B33E8">
            <w:pPr>
              <w:pStyle w:val="Body"/>
              <w:spacing w:line="240" w:lineRule="auto"/>
            </w:pPr>
            <w:r>
              <w:rPr>
                <w:rFonts w:ascii="Cambria" w:hAnsi="Cambria"/>
                <w:kern w:val="2"/>
                <w:sz w:val="24"/>
                <w:szCs w:val="24"/>
              </w:rPr>
              <w:t xml:space="preserve">Noninferior to daily GH (REAL4, 52 </w:t>
            </w:r>
            <w:proofErr w:type="spellStart"/>
            <w:r>
              <w:rPr>
                <w:rFonts w:ascii="Cambria" w:hAnsi="Cambria"/>
                <w:kern w:val="2"/>
                <w:sz w:val="24"/>
                <w:szCs w:val="24"/>
              </w:rPr>
              <w:t>wks</w:t>
            </w:r>
            <w:proofErr w:type="spellEnd"/>
            <w:r>
              <w:rPr>
                <w:rFonts w:ascii="Cambria" w:hAnsi="Cambria"/>
                <w:kern w:val="2"/>
                <w:sz w:val="24"/>
                <w:szCs w:val="24"/>
              </w:rPr>
              <w:t>); sustained after 2 yrs</w:t>
            </w:r>
          </w:p>
        </w:tc>
        <w:tc>
          <w:tcPr>
            <w:tcW w:w="178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B2EE30B" w14:textId="77777777" w:rsidR="00A167F4" w:rsidRDefault="005B33E8">
            <w:pPr>
              <w:pStyle w:val="Body"/>
              <w:spacing w:line="240" w:lineRule="auto"/>
            </w:pPr>
            <w:r>
              <w:rPr>
                <w:rFonts w:ascii="Cambria" w:hAnsi="Cambria"/>
                <w:kern w:val="2"/>
                <w:sz w:val="24"/>
                <w:szCs w:val="24"/>
              </w:rPr>
              <w:t>Common: nasopharyngitis, headache, fever; no deaths</w:t>
            </w:r>
          </w:p>
        </w:tc>
        <w:tc>
          <w:tcPr>
            <w:tcW w:w="123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0C8E59B" w14:textId="77777777" w:rsidR="00A167F4" w:rsidRDefault="005B33E8">
            <w:pPr>
              <w:pStyle w:val="Body"/>
              <w:spacing w:line="240" w:lineRule="auto"/>
            </w:pPr>
            <w:r>
              <w:rPr>
                <w:rFonts w:ascii="Cambria" w:hAnsi="Cambria"/>
                <w:kern w:val="2"/>
                <w:sz w:val="24"/>
                <w:szCs w:val="24"/>
              </w:rPr>
              <w:t xml:space="preserve">Up to 156 </w:t>
            </w:r>
            <w:proofErr w:type="spellStart"/>
            <w:r>
              <w:rPr>
                <w:rFonts w:ascii="Cambria" w:hAnsi="Cambria"/>
                <w:kern w:val="2"/>
                <w:sz w:val="24"/>
                <w:szCs w:val="24"/>
              </w:rPr>
              <w:t>wks</w:t>
            </w:r>
            <w:proofErr w:type="spellEnd"/>
            <w:r>
              <w:rPr>
                <w:rFonts w:ascii="Cambria" w:hAnsi="Cambria"/>
                <w:kern w:val="2"/>
                <w:sz w:val="24"/>
                <w:szCs w:val="24"/>
              </w:rPr>
              <w:t>: sustained growth &amp; safety</w:t>
            </w:r>
          </w:p>
        </w:tc>
        <w:tc>
          <w:tcPr>
            <w:tcW w:w="10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61D1F28" w14:textId="77777777" w:rsidR="00A167F4" w:rsidRDefault="005B33E8">
            <w:pPr>
              <w:pStyle w:val="Body"/>
              <w:spacing w:before="120" w:line="240" w:lineRule="auto"/>
            </w:pPr>
            <w:r>
              <w:rPr>
                <w:rFonts w:ascii="Cambria" w:hAnsi="Cambria"/>
                <w:kern w:val="2"/>
                <w:sz w:val="24"/>
                <w:szCs w:val="24"/>
              </w:rPr>
              <w:t>Day 4</w:t>
            </w:r>
          </w:p>
        </w:tc>
      </w:tr>
      <w:tr w:rsidR="00A167F4" w14:paraId="3C0B3008" w14:textId="77777777">
        <w:trPr>
          <w:trHeight w:val="1690"/>
        </w:trPr>
        <w:tc>
          <w:tcPr>
            <w:tcW w:w="174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EC32F24" w14:textId="77777777" w:rsidR="00A167F4" w:rsidRDefault="005B33E8">
            <w:pPr>
              <w:pStyle w:val="Body"/>
              <w:spacing w:before="120" w:after="100" w:line="240" w:lineRule="auto"/>
            </w:pPr>
            <w:r>
              <w:rPr>
                <w:rFonts w:ascii="Cambria" w:hAnsi="Cambria"/>
                <w:b/>
                <w:bCs/>
                <w:kern w:val="2"/>
                <w:sz w:val="24"/>
                <w:szCs w:val="24"/>
              </w:rPr>
              <w:t>NGENLA (</w:t>
            </w:r>
            <w:proofErr w:type="spellStart"/>
            <w:r>
              <w:rPr>
                <w:rFonts w:ascii="Cambria" w:hAnsi="Cambria"/>
                <w:b/>
                <w:bCs/>
                <w:kern w:val="2"/>
                <w:sz w:val="24"/>
                <w:szCs w:val="24"/>
              </w:rPr>
              <w:t>Somatrogon-ghla</w:t>
            </w:r>
            <w:proofErr w:type="spellEnd"/>
            <w:r>
              <w:rPr>
                <w:rFonts w:ascii="Cambria" w:hAnsi="Cambria"/>
                <w:b/>
                <w:bCs/>
                <w:kern w:val="2"/>
                <w:sz w:val="24"/>
                <w:szCs w:val="24"/>
              </w:rPr>
              <w:t>)</w:t>
            </w:r>
          </w:p>
        </w:tc>
        <w:tc>
          <w:tcPr>
            <w:tcW w:w="117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0F46E8B" w14:textId="77777777" w:rsidR="00A167F4" w:rsidRDefault="005B33E8">
            <w:pPr>
              <w:pStyle w:val="Body"/>
              <w:spacing w:before="120" w:line="240" w:lineRule="auto"/>
            </w:pPr>
            <w:r>
              <w:rPr>
                <w:rFonts w:ascii="Cambria" w:hAnsi="Cambria"/>
                <w:kern w:val="2"/>
                <w:sz w:val="24"/>
                <w:szCs w:val="24"/>
              </w:rPr>
              <w:t>Jun 2023</w:t>
            </w:r>
          </w:p>
        </w:tc>
        <w:tc>
          <w:tcPr>
            <w:tcW w:w="12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C4184B7" w14:textId="77777777" w:rsidR="00A167F4" w:rsidRDefault="005B33E8">
            <w:pPr>
              <w:pStyle w:val="Body"/>
              <w:spacing w:line="240" w:lineRule="auto"/>
              <w:rPr>
                <w:rFonts w:ascii="Cambria" w:eastAsia="Cambria" w:hAnsi="Cambria" w:cs="Cambria"/>
                <w:kern w:val="2"/>
                <w:sz w:val="24"/>
                <w:szCs w:val="24"/>
              </w:rPr>
            </w:pPr>
            <w:r>
              <w:rPr>
                <w:rFonts w:ascii="Cambria" w:hAnsi="Cambria"/>
                <w:kern w:val="2"/>
                <w:sz w:val="24"/>
                <w:szCs w:val="24"/>
              </w:rPr>
              <w:t xml:space="preserve">GHD </w:t>
            </w:r>
          </w:p>
          <w:p w14:paraId="588D3F7D" w14:textId="77777777" w:rsidR="00A167F4" w:rsidRDefault="005B33E8">
            <w:pPr>
              <w:pStyle w:val="Body"/>
              <w:spacing w:line="240" w:lineRule="auto"/>
            </w:pPr>
            <w:r>
              <w:rPr>
                <w:rFonts w:ascii="Cambria" w:hAnsi="Cambria"/>
                <w:kern w:val="2"/>
                <w:sz w:val="24"/>
                <w:szCs w:val="24"/>
              </w:rPr>
              <w:t>≥3 yrs</w:t>
            </w:r>
          </w:p>
        </w:tc>
        <w:tc>
          <w:tcPr>
            <w:tcW w:w="178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DC9848A" w14:textId="77777777" w:rsidR="00A167F4" w:rsidRDefault="005B33E8">
            <w:pPr>
              <w:pStyle w:val="Body"/>
              <w:spacing w:line="240" w:lineRule="auto"/>
            </w:pPr>
            <w:r>
              <w:rPr>
                <w:rFonts w:ascii="Cambria" w:hAnsi="Cambria"/>
                <w:kern w:val="2"/>
                <w:sz w:val="24"/>
                <w:szCs w:val="24"/>
              </w:rPr>
              <w:t>Multi-dose pen (24 mg, 60 mg). No reconstitution; refrigerate after 30 min.</w:t>
            </w:r>
          </w:p>
        </w:tc>
        <w:tc>
          <w:tcPr>
            <w:tcW w:w="151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6EE6BB6" w14:textId="77777777" w:rsidR="00A167F4" w:rsidRDefault="005B33E8">
            <w:pPr>
              <w:pStyle w:val="Body"/>
              <w:spacing w:line="240" w:lineRule="auto"/>
            </w:pPr>
            <w:r>
              <w:rPr>
                <w:rFonts w:ascii="Cambria" w:hAnsi="Cambria"/>
                <w:kern w:val="2"/>
                <w:sz w:val="24"/>
                <w:szCs w:val="24"/>
              </w:rPr>
              <w:t>0.66 mg/kg/</w:t>
            </w:r>
            <w:proofErr w:type="spellStart"/>
            <w:r>
              <w:rPr>
                <w:rFonts w:ascii="Cambria" w:hAnsi="Cambria"/>
                <w:kern w:val="2"/>
                <w:sz w:val="24"/>
                <w:szCs w:val="24"/>
              </w:rPr>
              <w:t>wk</w:t>
            </w:r>
            <w:proofErr w:type="spellEnd"/>
            <w:r>
              <w:rPr>
                <w:rFonts w:ascii="Cambria" w:hAnsi="Cambria"/>
                <w:kern w:val="2"/>
                <w:sz w:val="24"/>
                <w:szCs w:val="24"/>
              </w:rPr>
              <w:t xml:space="preserve"> biologically ≈ daily GH 0.24 mg/kg/</w:t>
            </w:r>
            <w:proofErr w:type="spellStart"/>
            <w:r>
              <w:rPr>
                <w:rFonts w:ascii="Cambria" w:hAnsi="Cambria"/>
                <w:kern w:val="2"/>
                <w:sz w:val="24"/>
                <w:szCs w:val="24"/>
              </w:rPr>
              <w:t>wk</w:t>
            </w:r>
            <w:proofErr w:type="spellEnd"/>
          </w:p>
        </w:tc>
        <w:tc>
          <w:tcPr>
            <w:tcW w:w="139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3A70D32" w14:textId="77777777" w:rsidR="00A167F4" w:rsidRDefault="005B33E8">
            <w:pPr>
              <w:pStyle w:val="Body"/>
              <w:spacing w:line="240" w:lineRule="auto"/>
            </w:pPr>
            <w:r>
              <w:rPr>
                <w:rFonts w:ascii="Cambria" w:hAnsi="Cambria"/>
                <w:kern w:val="2"/>
                <w:sz w:val="24"/>
                <w:szCs w:val="24"/>
              </w:rPr>
              <w:t xml:space="preserve">Noninferior to daily GH (phase 3, 52 </w:t>
            </w:r>
            <w:proofErr w:type="spellStart"/>
            <w:r>
              <w:rPr>
                <w:rFonts w:ascii="Cambria" w:hAnsi="Cambria"/>
                <w:kern w:val="2"/>
                <w:sz w:val="24"/>
                <w:szCs w:val="24"/>
              </w:rPr>
              <w:t>wks</w:t>
            </w:r>
            <w:proofErr w:type="spellEnd"/>
            <w:r>
              <w:rPr>
                <w:rFonts w:ascii="Cambria" w:hAnsi="Cambria"/>
                <w:kern w:val="2"/>
                <w:sz w:val="24"/>
                <w:szCs w:val="24"/>
              </w:rPr>
              <w:t>)</w:t>
            </w:r>
          </w:p>
        </w:tc>
        <w:tc>
          <w:tcPr>
            <w:tcW w:w="178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AB1F62E" w14:textId="77777777" w:rsidR="00A167F4" w:rsidRDefault="005B33E8">
            <w:pPr>
              <w:pStyle w:val="Body"/>
              <w:spacing w:line="240" w:lineRule="auto"/>
            </w:pPr>
            <w:r>
              <w:rPr>
                <w:rFonts w:ascii="Cambria" w:hAnsi="Cambria"/>
                <w:kern w:val="2"/>
                <w:sz w:val="24"/>
                <w:szCs w:val="24"/>
              </w:rPr>
              <w:t>Mild/moderate AEs; injection site reactions common</w:t>
            </w:r>
          </w:p>
        </w:tc>
        <w:tc>
          <w:tcPr>
            <w:tcW w:w="123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83E1356" w14:textId="77777777" w:rsidR="00A167F4" w:rsidRDefault="005B33E8">
            <w:pPr>
              <w:pStyle w:val="Body"/>
              <w:spacing w:line="240" w:lineRule="auto"/>
            </w:pPr>
            <w:r>
              <w:rPr>
                <w:rFonts w:ascii="Cambria" w:hAnsi="Cambria"/>
                <w:kern w:val="2"/>
                <w:sz w:val="24"/>
                <w:szCs w:val="24"/>
              </w:rPr>
              <w:t>5–8 yrs: sustained growth &amp; favorable safety</w:t>
            </w:r>
          </w:p>
        </w:tc>
        <w:tc>
          <w:tcPr>
            <w:tcW w:w="10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0788ECD" w14:textId="77777777" w:rsidR="00A167F4" w:rsidRDefault="005B33E8">
            <w:pPr>
              <w:pStyle w:val="Body"/>
              <w:spacing w:before="120" w:line="240" w:lineRule="auto"/>
            </w:pPr>
            <w:r>
              <w:rPr>
                <w:rFonts w:ascii="Cambria" w:hAnsi="Cambria"/>
                <w:kern w:val="2"/>
                <w:sz w:val="24"/>
                <w:szCs w:val="24"/>
              </w:rPr>
              <w:t>Day 4</w:t>
            </w:r>
          </w:p>
        </w:tc>
      </w:tr>
    </w:tbl>
    <w:p w14:paraId="143E696B" w14:textId="61AECB0E" w:rsidR="00A167F4" w:rsidRDefault="00A167F4">
      <w:pPr>
        <w:pStyle w:val="Body"/>
        <w:widowControl w:val="0"/>
        <w:spacing w:after="160" w:line="240" w:lineRule="auto"/>
      </w:pPr>
    </w:p>
    <w:p w14:paraId="5EBCF3B1" w14:textId="77777777" w:rsidR="003068BB" w:rsidRDefault="003068BB" w:rsidP="003068BB">
      <w:pPr>
        <w:pStyle w:val="Body"/>
        <w:rPr>
          <w:rFonts w:ascii="Arial Unicode MS" w:hAnsi="Arial Unicode MS"/>
        </w:rPr>
      </w:pPr>
      <w:r>
        <w:rPr>
          <w:rFonts w:ascii="Arial Unicode MS" w:hAnsi="Arial Unicode MS"/>
        </w:rPr>
        <w:t xml:space="preserve">Written and prepared by </w:t>
      </w:r>
      <w:r>
        <w:rPr>
          <w:rFonts w:ascii="Helvetica" w:hAnsi="Helvetica"/>
          <w:color w:val="222222"/>
          <w:sz w:val="21"/>
          <w:szCs w:val="21"/>
          <w:shd w:val="clear" w:color="auto" w:fill="FFFFFF"/>
        </w:rPr>
        <w:t xml:space="preserve">Dania </w:t>
      </w:r>
      <w:proofErr w:type="spellStart"/>
      <w:r>
        <w:rPr>
          <w:rFonts w:ascii="Helvetica" w:hAnsi="Helvetica"/>
          <w:color w:val="222222"/>
          <w:sz w:val="21"/>
          <w:szCs w:val="21"/>
          <w:shd w:val="clear" w:color="auto" w:fill="FFFFFF"/>
        </w:rPr>
        <w:t>Alhamad</w:t>
      </w:r>
      <w:proofErr w:type="spellEnd"/>
      <w:r>
        <w:rPr>
          <w:rFonts w:ascii="Helvetica" w:hAnsi="Helvetica"/>
          <w:color w:val="222222"/>
          <w:sz w:val="21"/>
          <w:szCs w:val="21"/>
          <w:shd w:val="clear" w:color="auto" w:fill="FFFFFF"/>
        </w:rPr>
        <w:t>, Casey Berman, Neha Patel, and Emily Breidbart</w:t>
      </w:r>
      <w:r>
        <w:rPr>
          <w:rFonts w:ascii="Arial Unicode MS" w:hAnsi="Arial Unicode MS"/>
        </w:rPr>
        <w:br w:type="page"/>
      </w:r>
    </w:p>
    <w:p w14:paraId="09B0CD34" w14:textId="77777777" w:rsidR="003068BB" w:rsidRDefault="003068BB">
      <w:pPr>
        <w:pStyle w:val="Body"/>
        <w:widowControl w:val="0"/>
        <w:spacing w:after="160" w:line="240" w:lineRule="auto"/>
      </w:pPr>
    </w:p>
    <w:sectPr w:rsidR="003068BB">
      <w:headerReference w:type="default" r:id="rId11"/>
      <w:footerReference w:type="default" r:id="rId12"/>
      <w:pgSz w:w="15840" w:h="12240" w:orient="landscape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A5930E2" w14:textId="77777777" w:rsidR="00F22E6E" w:rsidRDefault="00F22E6E">
      <w:r>
        <w:separator/>
      </w:r>
    </w:p>
  </w:endnote>
  <w:endnote w:type="continuationSeparator" w:id="0">
    <w:p w14:paraId="28841858" w14:textId="77777777" w:rsidR="00F22E6E" w:rsidRDefault="00F22E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Helvetica Neue">
    <w:altName w:val="Arial"/>
    <w:charset w:val="00"/>
    <w:family w:val="auto"/>
    <w:pitch w:val="variable"/>
    <w:sig w:usb0="E50002FF" w:usb1="500079DB" w:usb2="0000001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AA51826" w14:textId="77777777" w:rsidR="00A167F4" w:rsidRDefault="00A167F4">
    <w:pPr>
      <w:pStyle w:val="Header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15FAC4F" w14:textId="77777777" w:rsidR="00F22E6E" w:rsidRDefault="00F22E6E">
      <w:r>
        <w:separator/>
      </w:r>
    </w:p>
  </w:footnote>
  <w:footnote w:type="continuationSeparator" w:id="0">
    <w:p w14:paraId="1AB1D516" w14:textId="77777777" w:rsidR="00F22E6E" w:rsidRDefault="00F22E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55B4708" w14:textId="77777777" w:rsidR="00A167F4" w:rsidRDefault="00A167F4">
    <w:pPr>
      <w:pStyle w:val="HeaderFoo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D0555A"/>
    <w:multiLevelType w:val="hybridMultilevel"/>
    <w:tmpl w:val="40D2395C"/>
    <w:lvl w:ilvl="0" w:tplc="CD3CFBFA">
      <w:start w:val="1"/>
      <w:numFmt w:val="bullet"/>
      <w:lvlText w:val="●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3CA4ABBC">
      <w:start w:val="1"/>
      <w:numFmt w:val="bullet"/>
      <w:lvlText w:val="○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BE6225B6">
      <w:start w:val="1"/>
      <w:numFmt w:val="bullet"/>
      <w:lvlText w:val="■"/>
      <w:lvlJc w:val="left"/>
      <w:pPr>
        <w:ind w:left="21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2BA0F144">
      <w:start w:val="1"/>
      <w:numFmt w:val="bullet"/>
      <w:lvlText w:val="●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3E56B468">
      <w:start w:val="1"/>
      <w:numFmt w:val="bullet"/>
      <w:lvlText w:val="○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9140D1BC">
      <w:start w:val="1"/>
      <w:numFmt w:val="bullet"/>
      <w:lvlText w:val="■"/>
      <w:lvlJc w:val="left"/>
      <w:pPr>
        <w:ind w:left="43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AAE0D9D2">
      <w:start w:val="1"/>
      <w:numFmt w:val="bullet"/>
      <w:lvlText w:val="●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F68E460A">
      <w:start w:val="1"/>
      <w:numFmt w:val="bullet"/>
      <w:lvlText w:val="○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462ECB16">
      <w:start w:val="1"/>
      <w:numFmt w:val="bullet"/>
      <w:lvlText w:val="■"/>
      <w:lvlJc w:val="left"/>
      <w:pPr>
        <w:ind w:left="64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 w15:restartNumberingAfterBreak="0">
    <w:nsid w:val="2BAD4D10"/>
    <w:multiLevelType w:val="hybridMultilevel"/>
    <w:tmpl w:val="25A6C222"/>
    <w:lvl w:ilvl="0" w:tplc="19843812">
      <w:start w:val="1"/>
      <w:numFmt w:val="bullet"/>
      <w:lvlText w:val="●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654A3940">
      <w:start w:val="1"/>
      <w:numFmt w:val="bullet"/>
      <w:lvlText w:val="○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CFE044C4">
      <w:start w:val="1"/>
      <w:numFmt w:val="bullet"/>
      <w:lvlText w:val="■"/>
      <w:lvlJc w:val="left"/>
      <w:pPr>
        <w:ind w:left="21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972E257E">
      <w:start w:val="1"/>
      <w:numFmt w:val="bullet"/>
      <w:lvlText w:val="●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BE1AA15A">
      <w:start w:val="1"/>
      <w:numFmt w:val="bullet"/>
      <w:lvlText w:val="○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88883D98">
      <w:start w:val="1"/>
      <w:numFmt w:val="bullet"/>
      <w:lvlText w:val="■"/>
      <w:lvlJc w:val="left"/>
      <w:pPr>
        <w:ind w:left="43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5ECEA310">
      <w:start w:val="1"/>
      <w:numFmt w:val="bullet"/>
      <w:lvlText w:val="●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421A2C42">
      <w:start w:val="1"/>
      <w:numFmt w:val="bullet"/>
      <w:lvlText w:val="○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44FE4DEC">
      <w:start w:val="1"/>
      <w:numFmt w:val="bullet"/>
      <w:lvlText w:val="■"/>
      <w:lvlJc w:val="left"/>
      <w:pPr>
        <w:ind w:left="64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 w15:restartNumberingAfterBreak="0">
    <w:nsid w:val="33074F65"/>
    <w:multiLevelType w:val="hybridMultilevel"/>
    <w:tmpl w:val="46301220"/>
    <w:lvl w:ilvl="0" w:tplc="D2522E16">
      <w:start w:val="1"/>
      <w:numFmt w:val="bullet"/>
      <w:lvlText w:val="●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72CC5AAA">
      <w:start w:val="1"/>
      <w:numFmt w:val="bullet"/>
      <w:lvlText w:val="○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A112A7C6">
      <w:start w:val="1"/>
      <w:numFmt w:val="bullet"/>
      <w:lvlText w:val="■"/>
      <w:lvlJc w:val="left"/>
      <w:pPr>
        <w:ind w:left="21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E12E617A">
      <w:start w:val="1"/>
      <w:numFmt w:val="bullet"/>
      <w:lvlText w:val="●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E72E64F0">
      <w:start w:val="1"/>
      <w:numFmt w:val="bullet"/>
      <w:lvlText w:val="○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B4EE865C">
      <w:start w:val="1"/>
      <w:numFmt w:val="bullet"/>
      <w:lvlText w:val="■"/>
      <w:lvlJc w:val="left"/>
      <w:pPr>
        <w:ind w:left="43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1188F6CA">
      <w:start w:val="1"/>
      <w:numFmt w:val="bullet"/>
      <w:lvlText w:val="●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60F02EA6">
      <w:start w:val="1"/>
      <w:numFmt w:val="bullet"/>
      <w:lvlText w:val="○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1D68918A">
      <w:start w:val="1"/>
      <w:numFmt w:val="bullet"/>
      <w:lvlText w:val="■"/>
      <w:lvlJc w:val="left"/>
      <w:pPr>
        <w:ind w:left="64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trackRevision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67F4"/>
    <w:rsid w:val="002C08B5"/>
    <w:rsid w:val="003068BB"/>
    <w:rsid w:val="003B154F"/>
    <w:rsid w:val="005046B6"/>
    <w:rsid w:val="005B33E8"/>
    <w:rsid w:val="005C4E6B"/>
    <w:rsid w:val="00686779"/>
    <w:rsid w:val="0071162E"/>
    <w:rsid w:val="007A5A23"/>
    <w:rsid w:val="008E13C4"/>
    <w:rsid w:val="00902DD4"/>
    <w:rsid w:val="0094635C"/>
    <w:rsid w:val="00A167F4"/>
    <w:rsid w:val="00F22E6E"/>
    <w:rsid w:val="00F548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70B4C9"/>
  <w15:docId w15:val="{9B551B03-7325-41E4-874D-3D571EFFF1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Body">
    <w:name w:val="Body"/>
    <w:pPr>
      <w:spacing w:line="276" w:lineRule="auto"/>
    </w:pPr>
    <w:rPr>
      <w:rFonts w:ascii="Arial" w:hAnsi="Arial" w:cs="Arial Unicode MS"/>
      <w:color w:val="000000"/>
      <w:sz w:val="22"/>
      <w:szCs w:val="22"/>
      <w:u w:color="000000"/>
      <w14:textOutline w14:w="0" w14:cap="flat" w14:cmpd="sng" w14:algn="ctr">
        <w14:noFill/>
        <w14:prstDash w14:val="solid"/>
        <w14:bevel/>
      </w14:textOutline>
    </w:rPr>
  </w:style>
  <w:style w:type="paragraph" w:styleId="Revision">
    <w:name w:val="Revision"/>
    <w:hidden/>
    <w:uiPriority w:val="99"/>
    <w:semiHidden/>
    <w:rsid w:val="005B33E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068B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68B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95C8BF2F4F7554FAEE0A73D4B80A94D" ma:contentTypeVersion="11" ma:contentTypeDescription="Create a new document." ma:contentTypeScope="" ma:versionID="964e584cdfe96e4ea4ef21dcab85f9dc">
  <xsd:schema xmlns:xsd="http://www.w3.org/2001/XMLSchema" xmlns:xs="http://www.w3.org/2001/XMLSchema" xmlns:p="http://schemas.microsoft.com/office/2006/metadata/properties" xmlns:ns3="ffbaa41d-1154-42d1-ac5d-48f5098af74a" targetNamespace="http://schemas.microsoft.com/office/2006/metadata/properties" ma:root="true" ma:fieldsID="e3e5e0494d81b794dd2e2ae57b750b4a" ns3:_="">
    <xsd:import namespace="ffbaa41d-1154-42d1-ac5d-48f5098af74a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MediaServiceGenerationTime" minOccurs="0"/>
                <xsd:element ref="ns3:MediaServiceEventHashCode" minOccurs="0"/>
                <xsd:element ref="ns3:MediaServiceSystemTags" minOccurs="0"/>
                <xsd:element ref="ns3:MediaServiceOCR" minOccurs="0"/>
                <xsd:element ref="ns3:MediaServiceLocation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baa41d-1154-42d1-ac5d-48f5098af74a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ystemTags" ma:index="15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_activity" ma:index="18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ffbaa41d-1154-42d1-ac5d-48f5098af74a" xsi:nil="true"/>
  </documentManagement>
</p:properties>
</file>

<file path=customXml/itemProps1.xml><?xml version="1.0" encoding="utf-8"?>
<ds:datastoreItem xmlns:ds="http://schemas.openxmlformats.org/officeDocument/2006/customXml" ds:itemID="{70FC12D3-1CEF-4991-A757-F29CD60795C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fbaa41d-1154-42d1-ac5d-48f5098af74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4B2F061-3776-4EFC-BA57-A48E8CD1FD7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8C45910-2370-4244-B2A5-229E845CBFA1}">
  <ds:schemaRefs>
    <ds:schemaRef ds:uri="http://purl.org/dc/elements/1.1/"/>
    <ds:schemaRef ds:uri="http://schemas.microsoft.com/office/2006/metadata/properties"/>
    <ds:schemaRef ds:uri="ffbaa41d-1154-42d1-ac5d-48f5098af74a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2006/documentManagement/types"/>
    <ds:schemaRef ds:uri="http://schemas.microsoft.com/office/infopath/2007/PartnerControl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1357</Words>
  <Characters>7738</Characters>
  <Application>Microsoft Office Word</Application>
  <DocSecurity>0</DocSecurity>
  <Lines>64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Patel, Neha</dc:creator>
  <cp:lastModifiedBy>Breidbart, Emily</cp:lastModifiedBy>
  <cp:revision>2</cp:revision>
  <dcterms:created xsi:type="dcterms:W3CDTF">2026-03-30T14:40:00Z</dcterms:created>
  <dcterms:modified xsi:type="dcterms:W3CDTF">2026-03-30T14:40:00Z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0x010100495C8BF2F4F7554FAEE0A73D4B80A94D</vt:lpwstr>
  </property>
</Properties>
</file>