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6A4E" w14:textId="72DF7720" w:rsidR="00F70C25" w:rsidRPr="00CC3AB5" w:rsidRDefault="00F70C25">
      <w:pPr>
        <w:rPr>
          <w:rFonts w:ascii="Arial" w:hAnsi="Arial" w:cs="Arial"/>
          <w:b/>
          <w:bCs/>
          <w:color w:val="70AD47" w:themeColor="accent6"/>
          <w:sz w:val="32"/>
          <w:szCs w:val="32"/>
          <w:lang w:val="es-CO"/>
        </w:rPr>
      </w:pPr>
      <w:r w:rsidRPr="00CC3AB5">
        <w:rPr>
          <w:rFonts w:ascii="Arial" w:hAnsi="Arial" w:cs="Arial"/>
          <w:b/>
          <w:bCs/>
          <w:color w:val="70AD47" w:themeColor="accent6"/>
          <w:sz w:val="32"/>
          <w:szCs w:val="32"/>
          <w:lang w:val="es-CO"/>
        </w:rPr>
        <w:t xml:space="preserve">Síndrome de </w:t>
      </w:r>
      <w:proofErr w:type="spellStart"/>
      <w:r w:rsidRPr="00CC3AB5">
        <w:rPr>
          <w:rFonts w:ascii="Arial" w:hAnsi="Arial" w:cs="Arial"/>
          <w:b/>
          <w:bCs/>
          <w:color w:val="70AD47" w:themeColor="accent6"/>
          <w:sz w:val="32"/>
          <w:szCs w:val="32"/>
          <w:lang w:val="es-CO"/>
        </w:rPr>
        <w:t>DiGeorge</w:t>
      </w:r>
      <w:proofErr w:type="spellEnd"/>
    </w:p>
    <w:p w14:paraId="235FF44C" w14:textId="77777777" w:rsidR="00F70C25" w:rsidRDefault="00F70C25">
      <w:pPr>
        <w:rPr>
          <w:rFonts w:ascii="Arial" w:hAnsi="Arial" w:cs="Arial"/>
          <w:b/>
          <w:bCs/>
          <w:lang w:val="es-CO"/>
        </w:rPr>
      </w:pPr>
    </w:p>
    <w:p w14:paraId="2F9992D7" w14:textId="40980761" w:rsidR="00535F59" w:rsidRPr="00CA2078" w:rsidRDefault="00926A86">
      <w:pPr>
        <w:rPr>
          <w:rFonts w:ascii="Arial" w:hAnsi="Arial" w:cs="Arial"/>
          <w:b/>
          <w:bCs/>
          <w:color w:val="70AD47" w:themeColor="accent6"/>
          <w:lang w:val="es-CO"/>
        </w:rPr>
      </w:pPr>
      <w:r w:rsidRPr="00CA2078">
        <w:rPr>
          <w:rFonts w:ascii="Arial" w:hAnsi="Arial" w:cs="Arial"/>
          <w:b/>
          <w:bCs/>
          <w:color w:val="70AD47" w:themeColor="accent6"/>
          <w:lang w:val="es-CO"/>
        </w:rPr>
        <w:t xml:space="preserve">¿Qué es el </w:t>
      </w:r>
      <w:proofErr w:type="spellStart"/>
      <w:r w:rsidRPr="00CA2078">
        <w:rPr>
          <w:rFonts w:ascii="Arial" w:hAnsi="Arial" w:cs="Arial"/>
          <w:b/>
          <w:bCs/>
          <w:color w:val="70AD47" w:themeColor="accent6"/>
          <w:lang w:val="es-CO"/>
        </w:rPr>
        <w:t>sindrome</w:t>
      </w:r>
      <w:proofErr w:type="spellEnd"/>
      <w:r w:rsidRPr="00CA2078">
        <w:rPr>
          <w:rFonts w:ascii="Arial" w:hAnsi="Arial" w:cs="Arial"/>
          <w:b/>
          <w:bCs/>
          <w:color w:val="70AD47" w:themeColor="accent6"/>
          <w:lang w:val="es-CO"/>
        </w:rPr>
        <w:t xml:space="preserve"> de </w:t>
      </w:r>
      <w:proofErr w:type="spellStart"/>
      <w:r w:rsidRPr="00CA2078">
        <w:rPr>
          <w:rFonts w:ascii="Arial" w:hAnsi="Arial" w:cs="Arial"/>
          <w:b/>
          <w:bCs/>
          <w:color w:val="70AD47" w:themeColor="accent6"/>
          <w:lang w:val="es-CO"/>
        </w:rPr>
        <w:t>DiG</w:t>
      </w:r>
      <w:r w:rsidR="00001DC2" w:rsidRPr="00CA2078">
        <w:rPr>
          <w:rFonts w:ascii="Arial" w:hAnsi="Arial" w:cs="Arial"/>
          <w:b/>
          <w:bCs/>
          <w:color w:val="70AD47" w:themeColor="accent6"/>
          <w:lang w:val="es-CO"/>
        </w:rPr>
        <w:t>e</w:t>
      </w:r>
      <w:r w:rsidRPr="00CA2078">
        <w:rPr>
          <w:rFonts w:ascii="Arial" w:hAnsi="Arial" w:cs="Arial"/>
          <w:b/>
          <w:bCs/>
          <w:color w:val="70AD47" w:themeColor="accent6"/>
          <w:lang w:val="es-CO"/>
        </w:rPr>
        <w:t>orge</w:t>
      </w:r>
      <w:proofErr w:type="spellEnd"/>
      <w:r w:rsidRPr="00CA2078">
        <w:rPr>
          <w:rFonts w:ascii="Arial" w:hAnsi="Arial" w:cs="Arial"/>
          <w:b/>
          <w:bCs/>
          <w:color w:val="70AD47" w:themeColor="accent6"/>
          <w:lang w:val="es-CO"/>
        </w:rPr>
        <w:t>?</w:t>
      </w:r>
    </w:p>
    <w:p w14:paraId="725A9C86" w14:textId="409950AE" w:rsidR="00DA50E4" w:rsidRPr="00926A86" w:rsidRDefault="00DA50E4">
      <w:pPr>
        <w:rPr>
          <w:rFonts w:ascii="Arial" w:hAnsi="Arial" w:cs="Arial"/>
          <w:lang w:val="es-CO"/>
        </w:rPr>
      </w:pPr>
      <w:r w:rsidRPr="00926A86">
        <w:rPr>
          <w:rFonts w:ascii="Arial" w:hAnsi="Arial" w:cs="Arial"/>
          <w:lang w:val="es-CO"/>
        </w:rPr>
        <w:t xml:space="preserve">El síndrome de </w:t>
      </w:r>
      <w:proofErr w:type="spellStart"/>
      <w:r w:rsidRPr="00926A86">
        <w:rPr>
          <w:rFonts w:ascii="Arial" w:hAnsi="Arial" w:cs="Arial"/>
          <w:lang w:val="es-CO"/>
        </w:rPr>
        <w:t>DiG</w:t>
      </w:r>
      <w:r w:rsidR="00001DC2">
        <w:rPr>
          <w:rFonts w:ascii="Arial" w:hAnsi="Arial" w:cs="Arial"/>
          <w:lang w:val="es-CO"/>
        </w:rPr>
        <w:t>e</w:t>
      </w:r>
      <w:r w:rsidRPr="00926A86">
        <w:rPr>
          <w:rFonts w:ascii="Arial" w:hAnsi="Arial" w:cs="Arial"/>
          <w:lang w:val="es-CO"/>
        </w:rPr>
        <w:t>orge</w:t>
      </w:r>
      <w:proofErr w:type="spellEnd"/>
      <w:r w:rsidRPr="00926A86">
        <w:rPr>
          <w:rFonts w:ascii="Arial" w:hAnsi="Arial" w:cs="Arial"/>
          <w:lang w:val="es-CO"/>
        </w:rPr>
        <w:t xml:space="preserve"> es una condición genética en la que falta una pequeña parte del cromosoma número 22. A los pacientes con el síndrome de </w:t>
      </w:r>
      <w:proofErr w:type="spellStart"/>
      <w:r w:rsidRPr="00926A86">
        <w:rPr>
          <w:rFonts w:ascii="Arial" w:hAnsi="Arial" w:cs="Arial"/>
          <w:lang w:val="es-CO"/>
        </w:rPr>
        <w:t>DiGeorge</w:t>
      </w:r>
      <w:proofErr w:type="spellEnd"/>
      <w:r w:rsidRPr="00926A86">
        <w:rPr>
          <w:rFonts w:ascii="Arial" w:hAnsi="Arial" w:cs="Arial"/>
          <w:lang w:val="es-CO"/>
        </w:rPr>
        <w:t xml:space="preserve"> les falta un segmento en una de las copias del cromosoma 22 en una localización llamada q11.2 (</w:t>
      </w:r>
      <w:proofErr w:type="spellStart"/>
      <w:r w:rsidR="00F766A6">
        <w:rPr>
          <w:rFonts w:ascii="Arial" w:hAnsi="Arial" w:cs="Arial"/>
          <w:lang w:val="es-CO"/>
        </w:rPr>
        <w:t>s</w:t>
      </w:r>
      <w:r w:rsidRPr="00926A86">
        <w:rPr>
          <w:rFonts w:ascii="Arial" w:hAnsi="Arial" w:cs="Arial"/>
          <w:lang w:val="es-CO"/>
        </w:rPr>
        <w:t>indrome</w:t>
      </w:r>
      <w:proofErr w:type="spellEnd"/>
      <w:r w:rsidRPr="00926A86">
        <w:rPr>
          <w:rFonts w:ascii="Arial" w:hAnsi="Arial" w:cs="Arial"/>
          <w:lang w:val="es-CO"/>
        </w:rPr>
        <w:t xml:space="preserve"> de </w:t>
      </w:r>
      <w:proofErr w:type="spellStart"/>
      <w:r w:rsidRPr="00926A86">
        <w:rPr>
          <w:rFonts w:ascii="Arial" w:hAnsi="Arial" w:cs="Arial"/>
          <w:lang w:val="es-CO"/>
        </w:rPr>
        <w:t>deleción</w:t>
      </w:r>
      <w:proofErr w:type="spellEnd"/>
      <w:r w:rsidRPr="00926A86">
        <w:rPr>
          <w:rFonts w:ascii="Arial" w:hAnsi="Arial" w:cs="Arial"/>
          <w:lang w:val="es-CO"/>
        </w:rPr>
        <w:t xml:space="preserve"> 22q11.2). La deleción puede comprometer muchos genes contiguos. Los signos y síntomas varían </w:t>
      </w:r>
      <w:r w:rsidR="00333CB7" w:rsidRPr="00926A86">
        <w:rPr>
          <w:rFonts w:ascii="Arial" w:hAnsi="Arial" w:cs="Arial"/>
          <w:lang w:val="es-CO"/>
        </w:rPr>
        <w:t xml:space="preserve">dependiendo del número de genes ausentes. Dependiendo de las características, algunos de los subtipos de esta condición reciben los nombres de CATCH22, síndrome </w:t>
      </w:r>
      <w:proofErr w:type="spellStart"/>
      <w:r w:rsidR="00333CB7" w:rsidRPr="00926A86">
        <w:rPr>
          <w:rFonts w:ascii="Arial" w:hAnsi="Arial" w:cs="Arial"/>
          <w:lang w:val="es-CO"/>
        </w:rPr>
        <w:t>velocardiofacial</w:t>
      </w:r>
      <w:proofErr w:type="spellEnd"/>
      <w:r w:rsidR="00333CB7" w:rsidRPr="00926A86">
        <w:rPr>
          <w:rFonts w:ascii="Arial" w:hAnsi="Arial" w:cs="Arial"/>
          <w:lang w:val="es-CO"/>
        </w:rPr>
        <w:t xml:space="preserve">, síndrome de </w:t>
      </w:r>
      <w:proofErr w:type="spellStart"/>
      <w:proofErr w:type="gramStart"/>
      <w:r w:rsidR="00333CB7" w:rsidRPr="00926A86">
        <w:rPr>
          <w:rFonts w:ascii="Arial" w:hAnsi="Arial" w:cs="Arial"/>
          <w:lang w:val="es-CO"/>
        </w:rPr>
        <w:t>Shprintzen</w:t>
      </w:r>
      <w:proofErr w:type="spellEnd"/>
      <w:r w:rsidR="00333CB7" w:rsidRPr="00926A86">
        <w:rPr>
          <w:rFonts w:ascii="Arial" w:hAnsi="Arial" w:cs="Arial"/>
          <w:lang w:val="es-CO"/>
        </w:rPr>
        <w:t xml:space="preserve"> ,</w:t>
      </w:r>
      <w:proofErr w:type="gramEnd"/>
      <w:r w:rsidR="00333CB7" w:rsidRPr="00926A86">
        <w:rPr>
          <w:rFonts w:ascii="Arial" w:hAnsi="Arial" w:cs="Arial"/>
          <w:lang w:val="es-CO"/>
        </w:rPr>
        <w:t xml:space="preserve"> síndrome de anomalía facial </w:t>
      </w:r>
      <w:proofErr w:type="spellStart"/>
      <w:r w:rsidR="00333CB7" w:rsidRPr="00926A86">
        <w:rPr>
          <w:rFonts w:ascii="Arial" w:hAnsi="Arial" w:cs="Arial"/>
          <w:lang w:val="es-CO"/>
        </w:rPr>
        <w:t>conotruncal</w:t>
      </w:r>
      <w:proofErr w:type="spellEnd"/>
      <w:r w:rsidR="00333CB7" w:rsidRPr="00926A86">
        <w:rPr>
          <w:rFonts w:ascii="Arial" w:hAnsi="Arial" w:cs="Arial"/>
          <w:lang w:val="es-CO"/>
        </w:rPr>
        <w:t xml:space="preserve">, síndrome de </w:t>
      </w:r>
      <w:proofErr w:type="spellStart"/>
      <w:r w:rsidR="00333CB7" w:rsidRPr="00926A86">
        <w:rPr>
          <w:rFonts w:ascii="Arial" w:hAnsi="Arial" w:cs="Arial"/>
          <w:lang w:val="es-CO"/>
        </w:rPr>
        <w:t>Sedlackova</w:t>
      </w:r>
      <w:proofErr w:type="spellEnd"/>
      <w:r w:rsidR="00333CB7" w:rsidRPr="00926A86">
        <w:rPr>
          <w:rFonts w:ascii="Arial" w:hAnsi="Arial" w:cs="Arial"/>
          <w:lang w:val="es-CO"/>
        </w:rPr>
        <w:t>, s</w:t>
      </w:r>
      <w:r w:rsidR="00F766A6">
        <w:rPr>
          <w:rFonts w:ascii="Arial" w:hAnsi="Arial" w:cs="Arial"/>
          <w:lang w:val="es-CO"/>
        </w:rPr>
        <w:t>ín</w:t>
      </w:r>
      <w:r w:rsidR="00333CB7" w:rsidRPr="00926A86">
        <w:rPr>
          <w:rFonts w:ascii="Arial" w:hAnsi="Arial" w:cs="Arial"/>
          <w:lang w:val="es-CO"/>
        </w:rPr>
        <w:t>d</w:t>
      </w:r>
      <w:r w:rsidR="00F766A6">
        <w:rPr>
          <w:rFonts w:ascii="Arial" w:hAnsi="Arial" w:cs="Arial"/>
          <w:lang w:val="es-CO"/>
        </w:rPr>
        <w:t>r</w:t>
      </w:r>
      <w:r w:rsidR="00333CB7" w:rsidRPr="00926A86">
        <w:rPr>
          <w:rFonts w:ascii="Arial" w:hAnsi="Arial" w:cs="Arial"/>
          <w:lang w:val="es-CO"/>
        </w:rPr>
        <w:t xml:space="preserve">ome </w:t>
      </w:r>
      <w:proofErr w:type="spellStart"/>
      <w:r w:rsidR="00333CB7" w:rsidRPr="00926A86">
        <w:rPr>
          <w:rFonts w:ascii="Arial" w:hAnsi="Arial" w:cs="Arial"/>
          <w:lang w:val="es-CO"/>
        </w:rPr>
        <w:t>cardiofacial</w:t>
      </w:r>
      <w:proofErr w:type="spellEnd"/>
      <w:r w:rsidR="00333CB7" w:rsidRPr="00926A86">
        <w:rPr>
          <w:rFonts w:ascii="Arial" w:hAnsi="Arial" w:cs="Arial"/>
          <w:lang w:val="es-CO"/>
        </w:rPr>
        <w:t xml:space="preserve"> de </w:t>
      </w:r>
      <w:proofErr w:type="spellStart"/>
      <w:r w:rsidR="00333CB7" w:rsidRPr="00926A86">
        <w:rPr>
          <w:rFonts w:ascii="Arial" w:hAnsi="Arial" w:cs="Arial"/>
          <w:lang w:val="es-CO"/>
        </w:rPr>
        <w:t>Cayler</w:t>
      </w:r>
      <w:proofErr w:type="spellEnd"/>
      <w:r w:rsidR="00333CB7" w:rsidRPr="00926A86">
        <w:rPr>
          <w:rFonts w:ascii="Arial" w:hAnsi="Arial" w:cs="Arial"/>
          <w:lang w:val="es-CO"/>
        </w:rPr>
        <w:t xml:space="preserve"> o síndrome </w:t>
      </w:r>
      <w:r w:rsidR="00DF47B7" w:rsidRPr="00926A86">
        <w:rPr>
          <w:rFonts w:ascii="Arial" w:hAnsi="Arial" w:cs="Arial"/>
          <w:lang w:val="es-CO"/>
        </w:rPr>
        <w:t>de</w:t>
      </w:r>
      <w:r w:rsidR="00333CB7" w:rsidRPr="00926A86">
        <w:rPr>
          <w:rFonts w:ascii="Arial" w:hAnsi="Arial" w:cs="Arial"/>
          <w:lang w:val="es-CO"/>
        </w:rPr>
        <w:t xml:space="preserve"> </w:t>
      </w:r>
      <w:proofErr w:type="spellStart"/>
      <w:r w:rsidR="00333CB7" w:rsidRPr="00926A86">
        <w:rPr>
          <w:rFonts w:ascii="Arial" w:hAnsi="Arial" w:cs="Arial"/>
          <w:lang w:val="es-CO"/>
        </w:rPr>
        <w:t>O</w:t>
      </w:r>
      <w:r w:rsidR="00DF47B7" w:rsidRPr="00926A86">
        <w:rPr>
          <w:rFonts w:ascii="Arial" w:hAnsi="Arial" w:cs="Arial"/>
          <w:lang w:val="es-CO"/>
        </w:rPr>
        <w:t>pitz</w:t>
      </w:r>
      <w:proofErr w:type="spellEnd"/>
      <w:r w:rsidR="00DF47B7" w:rsidRPr="00926A86">
        <w:rPr>
          <w:rFonts w:ascii="Arial" w:hAnsi="Arial" w:cs="Arial"/>
          <w:lang w:val="es-CO"/>
        </w:rPr>
        <w:t xml:space="preserve"> G/BBB.</w:t>
      </w:r>
    </w:p>
    <w:p w14:paraId="19F5177B" w14:textId="6A927EF5" w:rsidR="00DF47B7" w:rsidRPr="00926A86" w:rsidRDefault="00DF47B7">
      <w:pPr>
        <w:rPr>
          <w:rFonts w:ascii="Arial" w:hAnsi="Arial" w:cs="Arial"/>
          <w:lang w:val="es-CO"/>
        </w:rPr>
      </w:pPr>
    </w:p>
    <w:p w14:paraId="111D5C77" w14:textId="54B8F6E8" w:rsidR="00DF47B7" w:rsidRPr="00926A86" w:rsidRDefault="00DF47B7">
      <w:pPr>
        <w:rPr>
          <w:rFonts w:ascii="Arial" w:hAnsi="Arial" w:cs="Arial"/>
          <w:lang w:val="es-CO"/>
        </w:rPr>
      </w:pPr>
      <w:r w:rsidRPr="00926A86">
        <w:rPr>
          <w:rFonts w:ascii="Arial" w:hAnsi="Arial" w:cs="Arial"/>
          <w:lang w:val="es-CO"/>
        </w:rPr>
        <w:t>Aproximadamente uno de cada 3000 a 4000 niños nacen con este problema. Aunque la mayoría de los niños lo adquieren como una mutación nueva, también puede ser heredado</w:t>
      </w:r>
      <w:r w:rsidR="00F766A6">
        <w:rPr>
          <w:rFonts w:ascii="Arial" w:hAnsi="Arial" w:cs="Arial"/>
          <w:lang w:val="es-CO"/>
        </w:rPr>
        <w:t xml:space="preserve"> </w:t>
      </w:r>
      <w:r w:rsidRPr="00926A86">
        <w:rPr>
          <w:rFonts w:ascii="Arial" w:hAnsi="Arial" w:cs="Arial"/>
          <w:lang w:val="es-CO"/>
        </w:rPr>
        <w:t xml:space="preserve">en una forma autosómica dominante, lo que significa </w:t>
      </w:r>
      <w:r w:rsidR="00BE28F8" w:rsidRPr="00926A86">
        <w:rPr>
          <w:rFonts w:ascii="Arial" w:hAnsi="Arial" w:cs="Arial"/>
          <w:lang w:val="es-CO"/>
        </w:rPr>
        <w:t>que cualquier paciente que tenga esta deleción tiene 50% de probabilidad de tener un hijo con la misma condición.</w:t>
      </w:r>
    </w:p>
    <w:p w14:paraId="5A9862E0" w14:textId="23160E82" w:rsidR="00BE28F8" w:rsidRPr="00926A86" w:rsidRDefault="00BE28F8">
      <w:pPr>
        <w:rPr>
          <w:rFonts w:ascii="Arial" w:hAnsi="Arial" w:cs="Arial"/>
          <w:lang w:val="es-CO"/>
        </w:rPr>
      </w:pPr>
    </w:p>
    <w:p w14:paraId="2037509E" w14:textId="7E395621" w:rsidR="00BE28F8" w:rsidRPr="00CA2078" w:rsidRDefault="00926A86">
      <w:pPr>
        <w:rPr>
          <w:rFonts w:ascii="Arial" w:hAnsi="Arial" w:cs="Arial"/>
          <w:b/>
          <w:bCs/>
          <w:color w:val="70AD47" w:themeColor="accent6"/>
          <w:lang w:val="es-CO"/>
        </w:rPr>
      </w:pPr>
      <w:r w:rsidRPr="00CA2078">
        <w:rPr>
          <w:rFonts w:ascii="Arial" w:hAnsi="Arial" w:cs="Arial"/>
          <w:b/>
          <w:bCs/>
          <w:color w:val="70AD47" w:themeColor="accent6"/>
          <w:lang w:val="es-CO"/>
        </w:rPr>
        <w:t xml:space="preserve">¿Cuáles son los signos y síntomas comunes del síndrome de </w:t>
      </w:r>
      <w:proofErr w:type="spellStart"/>
      <w:r w:rsidRPr="00CA2078">
        <w:rPr>
          <w:rFonts w:ascii="Arial" w:hAnsi="Arial" w:cs="Arial"/>
          <w:b/>
          <w:bCs/>
          <w:color w:val="70AD47" w:themeColor="accent6"/>
          <w:lang w:val="es-CO"/>
        </w:rPr>
        <w:t>DiG</w:t>
      </w:r>
      <w:r w:rsidR="00001DC2" w:rsidRPr="00CA2078">
        <w:rPr>
          <w:rFonts w:ascii="Arial" w:hAnsi="Arial" w:cs="Arial"/>
          <w:b/>
          <w:bCs/>
          <w:color w:val="70AD47" w:themeColor="accent6"/>
          <w:lang w:val="es-CO"/>
        </w:rPr>
        <w:t>e</w:t>
      </w:r>
      <w:r w:rsidRPr="00CA2078">
        <w:rPr>
          <w:rFonts w:ascii="Arial" w:hAnsi="Arial" w:cs="Arial"/>
          <w:b/>
          <w:bCs/>
          <w:color w:val="70AD47" w:themeColor="accent6"/>
          <w:lang w:val="es-CO"/>
        </w:rPr>
        <w:t>orge</w:t>
      </w:r>
      <w:proofErr w:type="spellEnd"/>
      <w:r w:rsidRPr="00CA2078">
        <w:rPr>
          <w:rFonts w:ascii="Arial" w:hAnsi="Arial" w:cs="Arial"/>
          <w:b/>
          <w:bCs/>
          <w:color w:val="70AD47" w:themeColor="accent6"/>
          <w:lang w:val="es-CO"/>
        </w:rPr>
        <w:t>?</w:t>
      </w:r>
    </w:p>
    <w:p w14:paraId="16FB4A77" w14:textId="290AEA0C" w:rsidR="00BE28F8" w:rsidRPr="00926A86" w:rsidRDefault="00BE28F8">
      <w:pPr>
        <w:rPr>
          <w:rFonts w:ascii="Arial" w:hAnsi="Arial" w:cs="Arial"/>
          <w:lang w:val="es-CO"/>
        </w:rPr>
      </w:pPr>
      <w:r w:rsidRPr="00926A86">
        <w:rPr>
          <w:rFonts w:ascii="Arial" w:hAnsi="Arial" w:cs="Arial"/>
          <w:lang w:val="es-CO"/>
        </w:rPr>
        <w:t>Esta deleción resulta en el desarrollo anormal de varios sistemas del organismo y los signos y síntomas asociados al síndrome de deleción 22q11.2 pueden ser variables. Algunos signos y síntomas pueden aparecer al nacimiento</w:t>
      </w:r>
      <w:r w:rsidR="0011275B" w:rsidRPr="00926A86">
        <w:rPr>
          <w:rFonts w:ascii="Arial" w:hAnsi="Arial" w:cs="Arial"/>
          <w:lang w:val="es-CO"/>
        </w:rPr>
        <w:t xml:space="preserve">, pero otros pueden no ser aparentes hasta más tarde en la infancia o la niñez temprana. </w:t>
      </w:r>
    </w:p>
    <w:p w14:paraId="5800B902" w14:textId="3C10C459" w:rsidR="0011275B" w:rsidRPr="00CA2078" w:rsidRDefault="00926A86">
      <w:pPr>
        <w:rPr>
          <w:rFonts w:ascii="Arial" w:hAnsi="Arial" w:cs="Arial"/>
          <w:b/>
          <w:bCs/>
          <w:color w:val="70AD47" w:themeColor="accent6"/>
          <w:lang w:val="es-CO"/>
        </w:rPr>
      </w:pPr>
      <w:r w:rsidRPr="00CA2078">
        <w:rPr>
          <w:rFonts w:ascii="Arial" w:hAnsi="Arial" w:cs="Arial"/>
          <w:b/>
          <w:bCs/>
          <w:color w:val="70AD47" w:themeColor="accent6"/>
          <w:lang w:val="es-CO"/>
        </w:rPr>
        <w:t>¿Cuáles son los problemas endocrinológicos más comunes?</w:t>
      </w:r>
    </w:p>
    <w:p w14:paraId="403C7FEF" w14:textId="2699C1DA" w:rsidR="0011275B" w:rsidRPr="0082194C" w:rsidRDefault="0011275B" w:rsidP="0011275B">
      <w:pPr>
        <w:pStyle w:val="ListParagraph"/>
        <w:numPr>
          <w:ilvl w:val="0"/>
          <w:numId w:val="1"/>
        </w:numPr>
        <w:rPr>
          <w:rFonts w:ascii="Arial" w:hAnsi="Arial" w:cs="Arial"/>
          <w:lang w:val="es-CO"/>
        </w:rPr>
      </w:pPr>
      <w:r w:rsidRPr="00926A86">
        <w:rPr>
          <w:rFonts w:ascii="Arial" w:hAnsi="Arial" w:cs="Arial"/>
          <w:b/>
          <w:bCs/>
          <w:lang w:val="es-CO"/>
        </w:rPr>
        <w:t>Hipopa</w:t>
      </w:r>
      <w:r w:rsidR="00F766A6">
        <w:rPr>
          <w:rFonts w:ascii="Arial" w:hAnsi="Arial" w:cs="Arial"/>
          <w:b/>
          <w:bCs/>
          <w:lang w:val="es-CO"/>
        </w:rPr>
        <w:t>r</w:t>
      </w:r>
      <w:r w:rsidRPr="00926A86">
        <w:rPr>
          <w:rFonts w:ascii="Arial" w:hAnsi="Arial" w:cs="Arial"/>
          <w:b/>
          <w:bCs/>
          <w:lang w:val="es-CO"/>
        </w:rPr>
        <w:t>atiroidismo:</w:t>
      </w:r>
      <w:r w:rsidRPr="00926A86">
        <w:rPr>
          <w:rFonts w:ascii="Arial" w:hAnsi="Arial" w:cs="Arial"/>
          <w:lang w:val="es-CO"/>
        </w:rPr>
        <w:t xml:space="preserve"> Las glándulas paratiroideas están localizadas en la cara posterior de la glándula tiroidea y son cuatro pequeñas glándulas necesarias para el balance normal del calcio y el fósforo en el cuerpo. Estas glándulas pueden no desarrollarse adecuadamente o pueden ser extremadamente pequeñas. Algunos niños pueden, entonces, tener problemas con la regulación del calcio y el f</w:t>
      </w:r>
      <w:r w:rsidR="00C61D8F" w:rsidRPr="00926A86">
        <w:rPr>
          <w:rFonts w:ascii="Arial" w:hAnsi="Arial" w:cs="Arial"/>
          <w:lang w:val="es-CO"/>
        </w:rPr>
        <w:t>ó</w:t>
      </w:r>
      <w:r w:rsidRPr="00926A86">
        <w:rPr>
          <w:rFonts w:ascii="Arial" w:hAnsi="Arial" w:cs="Arial"/>
          <w:lang w:val="es-CO"/>
        </w:rPr>
        <w:t>sforo</w:t>
      </w:r>
      <w:r w:rsidR="00C61D8F" w:rsidRPr="00926A86">
        <w:rPr>
          <w:rFonts w:ascii="Arial" w:hAnsi="Arial" w:cs="Arial"/>
          <w:lang w:val="es-CO"/>
        </w:rPr>
        <w:t>, lo que puede suceder en el período neonatal o más tarde. Los bajos niveles de calcio en la sangre</w:t>
      </w:r>
      <w:r w:rsidR="00F766A6">
        <w:rPr>
          <w:rFonts w:ascii="Arial" w:hAnsi="Arial" w:cs="Arial"/>
          <w:lang w:val="es-CO"/>
        </w:rPr>
        <w:t xml:space="preserve"> </w:t>
      </w:r>
      <w:r w:rsidR="00C61D8F" w:rsidRPr="00926A86">
        <w:rPr>
          <w:rFonts w:ascii="Arial" w:hAnsi="Arial" w:cs="Arial"/>
          <w:lang w:val="es-CO"/>
        </w:rPr>
        <w:t xml:space="preserve">pueden requerir que un endocrinólogo formule suplementación de calcio y de una forma especial de vitamina D. Algunos pacientes pueden tener bajos niveles de calcio solamente durante períodos de estrés. Algunos pacientes pueden tener deficiencias en el esmalte de los dientes. </w:t>
      </w:r>
      <w:r w:rsidR="00C61D8F" w:rsidRPr="00926A86">
        <w:rPr>
          <w:rFonts w:ascii="Arial" w:hAnsi="Arial" w:cs="Arial"/>
          <w:color w:val="8EAADB" w:themeColor="accent1" w:themeTint="99"/>
          <w:lang w:val="es-CO"/>
        </w:rPr>
        <w:t>Hipoparatiroidism</w:t>
      </w:r>
      <w:r w:rsidR="00F766A6">
        <w:rPr>
          <w:rFonts w:ascii="Arial" w:hAnsi="Arial" w:cs="Arial"/>
          <w:color w:val="8EAADB" w:themeColor="accent1" w:themeTint="99"/>
          <w:lang w:val="es-CO"/>
        </w:rPr>
        <w:t>o</w:t>
      </w:r>
      <w:r w:rsidR="00C61D8F" w:rsidRPr="00926A86">
        <w:rPr>
          <w:rFonts w:ascii="Arial" w:hAnsi="Arial" w:cs="Arial"/>
          <w:color w:val="8EAADB" w:themeColor="accent1" w:themeTint="99"/>
          <w:lang w:val="es-CO"/>
        </w:rPr>
        <w:t>.</w:t>
      </w:r>
    </w:p>
    <w:p w14:paraId="7D8382D4" w14:textId="77777777" w:rsidR="0082194C" w:rsidRPr="00926A86" w:rsidRDefault="0082194C" w:rsidP="0082194C">
      <w:pPr>
        <w:pStyle w:val="ListParagraph"/>
        <w:ind w:left="1080"/>
        <w:rPr>
          <w:rFonts w:ascii="Arial" w:hAnsi="Arial" w:cs="Arial"/>
          <w:lang w:val="es-CO"/>
        </w:rPr>
      </w:pPr>
    </w:p>
    <w:p w14:paraId="123379A4" w14:textId="393EE8D1" w:rsidR="00C61D8F" w:rsidRDefault="00C61D8F" w:rsidP="0011275B">
      <w:pPr>
        <w:pStyle w:val="ListParagraph"/>
        <w:numPr>
          <w:ilvl w:val="0"/>
          <w:numId w:val="1"/>
        </w:numPr>
        <w:rPr>
          <w:rFonts w:ascii="Arial" w:hAnsi="Arial" w:cs="Arial"/>
          <w:lang w:val="es-CO"/>
        </w:rPr>
      </w:pPr>
      <w:r w:rsidRPr="00926A86">
        <w:rPr>
          <w:rFonts w:ascii="Arial" w:hAnsi="Arial" w:cs="Arial"/>
          <w:b/>
          <w:bCs/>
          <w:lang w:val="es-CO"/>
        </w:rPr>
        <w:t>Talla baj</w:t>
      </w:r>
      <w:r w:rsidR="00B35506" w:rsidRPr="00926A86">
        <w:rPr>
          <w:rFonts w:ascii="Arial" w:hAnsi="Arial" w:cs="Arial"/>
          <w:b/>
          <w:bCs/>
          <w:lang w:val="es-CO"/>
        </w:rPr>
        <w:t>a, falla de crecimiento, retardo de crecimiento, y deficiencia de hormona de crecimiento</w:t>
      </w:r>
      <w:r w:rsidR="00B35506" w:rsidRPr="00926A86">
        <w:rPr>
          <w:rFonts w:ascii="Arial" w:hAnsi="Arial" w:cs="Arial"/>
          <w:lang w:val="es-CO"/>
        </w:rPr>
        <w:t xml:space="preserve"> (especialmente si hay defectos de la línea media tales como labio o paladar hendido). </w:t>
      </w:r>
      <w:r w:rsidR="00B35506" w:rsidRPr="00926A86">
        <w:rPr>
          <w:rFonts w:ascii="Arial" w:hAnsi="Arial" w:cs="Arial"/>
          <w:color w:val="8EAADB" w:themeColor="accent1" w:themeTint="99"/>
          <w:lang w:val="es-CO"/>
        </w:rPr>
        <w:t>Deficiencia de hormona de crecimiento</w:t>
      </w:r>
      <w:r w:rsidR="00B35506" w:rsidRPr="00926A86">
        <w:rPr>
          <w:rFonts w:ascii="Arial" w:hAnsi="Arial" w:cs="Arial"/>
          <w:lang w:val="es-CO"/>
        </w:rPr>
        <w:t>.</w:t>
      </w:r>
    </w:p>
    <w:p w14:paraId="01419A8A" w14:textId="77777777" w:rsidR="0082194C" w:rsidRPr="0082194C" w:rsidRDefault="0082194C" w:rsidP="0082194C">
      <w:pPr>
        <w:pStyle w:val="ListParagraph"/>
        <w:rPr>
          <w:rFonts w:ascii="Arial" w:hAnsi="Arial" w:cs="Arial"/>
          <w:lang w:val="es-CO"/>
        </w:rPr>
      </w:pPr>
    </w:p>
    <w:p w14:paraId="3D765FAF" w14:textId="77777777" w:rsidR="0082194C" w:rsidRPr="00926A86" w:rsidRDefault="0082194C" w:rsidP="0082194C">
      <w:pPr>
        <w:pStyle w:val="ListParagraph"/>
        <w:ind w:left="1080"/>
        <w:rPr>
          <w:rFonts w:ascii="Arial" w:hAnsi="Arial" w:cs="Arial"/>
          <w:lang w:val="es-CO"/>
        </w:rPr>
      </w:pPr>
    </w:p>
    <w:p w14:paraId="74E27EB3" w14:textId="39866B1B" w:rsidR="00926A86" w:rsidRPr="00F766A6" w:rsidRDefault="00B35506" w:rsidP="0011275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8EAADB" w:themeColor="accent1" w:themeTint="99"/>
          <w:lang w:val="es-CO"/>
        </w:rPr>
      </w:pPr>
      <w:r w:rsidRPr="00926A86">
        <w:rPr>
          <w:rFonts w:ascii="Arial" w:hAnsi="Arial" w:cs="Arial"/>
          <w:b/>
          <w:bCs/>
          <w:lang w:val="es-CO"/>
        </w:rPr>
        <w:lastRenderedPageBreak/>
        <w:t xml:space="preserve">Problemas tiroideos: </w:t>
      </w:r>
      <w:r w:rsidRPr="00926A86">
        <w:rPr>
          <w:rFonts w:ascii="Arial" w:hAnsi="Arial" w:cs="Arial"/>
          <w:lang w:val="es-CO"/>
        </w:rPr>
        <w:t>Aumento del riesgo de hipotiroidismo congénito</w:t>
      </w:r>
      <w:r w:rsidR="00926A86" w:rsidRPr="00926A86">
        <w:rPr>
          <w:rFonts w:ascii="Arial" w:hAnsi="Arial" w:cs="Arial"/>
          <w:lang w:val="es-CO"/>
        </w:rPr>
        <w:t xml:space="preserve"> y de enfermedades tiroideas autoinmunes que pueden llevar a una tiroides hiperactiva (hipertiroidismo</w:t>
      </w:r>
      <w:r w:rsidR="009830FE">
        <w:rPr>
          <w:rFonts w:ascii="Arial" w:hAnsi="Arial" w:cs="Arial"/>
          <w:lang w:val="es-CO"/>
        </w:rPr>
        <w:t xml:space="preserve"> </w:t>
      </w:r>
      <w:r w:rsidR="00926A86" w:rsidRPr="00926A86">
        <w:rPr>
          <w:rFonts w:ascii="Arial" w:hAnsi="Arial" w:cs="Arial"/>
          <w:lang w:val="es-CO"/>
        </w:rPr>
        <w:t xml:space="preserve">como en la enfermedad de Graves) o hipoactiva (hipotiroidismo como en la tiroiditis de Hashimoto). </w:t>
      </w:r>
      <w:r w:rsidR="00926A86" w:rsidRPr="00926A86">
        <w:rPr>
          <w:rFonts w:ascii="Arial" w:hAnsi="Arial" w:cs="Arial"/>
          <w:color w:val="8EAADB" w:themeColor="accent1" w:themeTint="99"/>
          <w:lang w:val="es-CO"/>
        </w:rPr>
        <w:t xml:space="preserve">Hipotiroidismo congénito y enfermedad de </w:t>
      </w:r>
      <w:r w:rsidR="00926A86" w:rsidRPr="00F766A6">
        <w:rPr>
          <w:rFonts w:ascii="Arial" w:hAnsi="Arial" w:cs="Arial"/>
          <w:b/>
          <w:bCs/>
          <w:color w:val="8EAADB" w:themeColor="accent1" w:themeTint="99"/>
          <w:lang w:val="es-CO"/>
        </w:rPr>
        <w:t>Graves.</w:t>
      </w:r>
    </w:p>
    <w:p w14:paraId="6259534B" w14:textId="4993F840" w:rsidR="00926A86" w:rsidRPr="00CA2078" w:rsidRDefault="00926A86" w:rsidP="00926A86">
      <w:pPr>
        <w:rPr>
          <w:rFonts w:ascii="Arial" w:hAnsi="Arial" w:cs="Arial"/>
          <w:b/>
          <w:bCs/>
          <w:color w:val="70AD47" w:themeColor="accent6"/>
          <w:lang w:val="es-CO"/>
        </w:rPr>
      </w:pPr>
      <w:proofErr w:type="gramStart"/>
      <w:r w:rsidRPr="00CA2078">
        <w:rPr>
          <w:rFonts w:ascii="Arial" w:hAnsi="Arial" w:cs="Arial"/>
          <w:b/>
          <w:bCs/>
          <w:color w:val="70AD47" w:themeColor="accent6"/>
          <w:lang w:val="es-CO"/>
        </w:rPr>
        <w:t xml:space="preserve">¿Cuáles otros </w:t>
      </w:r>
      <w:r w:rsidR="0082194C" w:rsidRPr="00CA2078">
        <w:rPr>
          <w:rFonts w:ascii="Arial" w:hAnsi="Arial" w:cs="Arial"/>
          <w:b/>
          <w:bCs/>
          <w:color w:val="70AD47" w:themeColor="accent6"/>
          <w:lang w:val="es-CO"/>
        </w:rPr>
        <w:t>signos y síntomas se pueden ver en el síndrome de deleción 22q11.</w:t>
      </w:r>
      <w:proofErr w:type="gramEnd"/>
      <w:r w:rsidR="0082194C" w:rsidRPr="00CA2078">
        <w:rPr>
          <w:rFonts w:ascii="Arial" w:hAnsi="Arial" w:cs="Arial"/>
          <w:b/>
          <w:bCs/>
          <w:color w:val="70AD47" w:themeColor="accent6"/>
          <w:lang w:val="es-CO"/>
        </w:rPr>
        <w:t>2?</w:t>
      </w:r>
      <w:r w:rsidRPr="00CA2078">
        <w:rPr>
          <w:rFonts w:ascii="Arial" w:hAnsi="Arial" w:cs="Arial"/>
          <w:b/>
          <w:bCs/>
          <w:color w:val="70AD47" w:themeColor="accent6"/>
          <w:lang w:val="es-CO"/>
        </w:rPr>
        <w:t xml:space="preserve"> </w:t>
      </w:r>
    </w:p>
    <w:p w14:paraId="4CA79EAB" w14:textId="2375C3B4" w:rsidR="0082194C" w:rsidRDefault="0082194C" w:rsidP="0082194C">
      <w:pPr>
        <w:pStyle w:val="ListParagraph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Soplos del corazón y anomalías cardíacas</w:t>
      </w:r>
    </w:p>
    <w:p w14:paraId="27133B07" w14:textId="77777777" w:rsidR="00F00C74" w:rsidRDefault="0082194C" w:rsidP="0082194C">
      <w:pPr>
        <w:pStyle w:val="ListParagraph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Problemas inmunológicos: la glándula del timo puede ser muy pequeña o puede estar ausente lo que conlleva a una función inmunológica muy pobre que se manifiesta con infecciones severas y frecuentes debido a anormalidades en los linfocitos T o</w:t>
      </w:r>
      <w:r w:rsidR="00F00C74">
        <w:rPr>
          <w:rFonts w:ascii="Arial" w:hAnsi="Arial" w:cs="Arial"/>
          <w:lang w:val="es-CO"/>
        </w:rPr>
        <w:t xml:space="preserve"> células T.</w:t>
      </w:r>
    </w:p>
    <w:p w14:paraId="77E1A7AE" w14:textId="47A765D2" w:rsidR="0082194C" w:rsidRDefault="00F00C74" w:rsidP="0082194C">
      <w:pPr>
        <w:pStyle w:val="ListParagraph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Características faciales tales como cabeza pequeña, mentón pequeño o poco desarrollado, orejas de implantación baja con la parte superior de las orejas en forma casi cuadrada, mayor distancia entre los ojos, filtro </w:t>
      </w:r>
      <w:r w:rsidR="00E17C42">
        <w:rPr>
          <w:rFonts w:ascii="Arial" w:hAnsi="Arial" w:cs="Arial"/>
          <w:lang w:val="es-CO"/>
        </w:rPr>
        <w:t>corto (el surco por encima del labio superior), paladar hendido u otros problemas en el paladar.</w:t>
      </w:r>
    </w:p>
    <w:p w14:paraId="7BFA0227" w14:textId="2D011ACD" w:rsidR="00E17C42" w:rsidRDefault="00E17C42" w:rsidP="0082194C">
      <w:pPr>
        <w:pStyle w:val="ListParagraph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Anormalidades esqueléticas tales como escoliosis con o sin anomalías vertebrales, pie chapín, polidactilia (dedos supernumerarios), y </w:t>
      </w:r>
      <w:r w:rsidR="009830FE">
        <w:rPr>
          <w:rFonts w:ascii="Arial" w:hAnsi="Arial" w:cs="Arial"/>
          <w:lang w:val="es-CO"/>
        </w:rPr>
        <w:t>craneosinostosis</w:t>
      </w:r>
      <w:r>
        <w:rPr>
          <w:rFonts w:ascii="Arial" w:hAnsi="Arial" w:cs="Arial"/>
          <w:lang w:val="es-CO"/>
        </w:rPr>
        <w:t xml:space="preserve"> (cierre prematuro de las suturas craneanas)</w:t>
      </w:r>
    </w:p>
    <w:p w14:paraId="346C5D36" w14:textId="73F0FAD3" w:rsidR="00E17C42" w:rsidRDefault="00E17C42" w:rsidP="0082194C">
      <w:pPr>
        <w:pStyle w:val="ListParagraph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Retardo del desarrollo, retardos y alteraciones del aprendizaje</w:t>
      </w:r>
      <w:r w:rsidR="0034757D">
        <w:rPr>
          <w:rFonts w:ascii="Arial" w:hAnsi="Arial" w:cs="Arial"/>
          <w:lang w:val="es-CO"/>
        </w:rPr>
        <w:t xml:space="preserve">, problemas emocionales y del comportamiento tales como síndrome deficitario de atención e hiperactividad </w:t>
      </w:r>
      <w:r w:rsidR="009830FE">
        <w:rPr>
          <w:rFonts w:ascii="Arial" w:hAnsi="Arial" w:cs="Arial"/>
          <w:lang w:val="es-CO"/>
        </w:rPr>
        <w:t>y</w:t>
      </w:r>
      <w:r w:rsidR="0034757D">
        <w:rPr>
          <w:rFonts w:ascii="Arial" w:hAnsi="Arial" w:cs="Arial"/>
          <w:lang w:val="es-CO"/>
        </w:rPr>
        <w:t xml:space="preserve"> también condiciones del desarrollo como las alteraciones en el espectro del autismo que afectan la comunicación y la interacción social.</w:t>
      </w:r>
    </w:p>
    <w:p w14:paraId="1012E178" w14:textId="46CBA286" w:rsidR="0034757D" w:rsidRDefault="0034757D" w:rsidP="0082194C">
      <w:pPr>
        <w:pStyle w:val="ListParagraph"/>
        <w:numPr>
          <w:ilvl w:val="0"/>
          <w:numId w:val="1"/>
        </w:numPr>
        <w:rPr>
          <w:rFonts w:ascii="Arial" w:hAnsi="Arial" w:cs="Arial"/>
          <w:lang w:val="es-CO"/>
        </w:rPr>
      </w:pPr>
      <w:r w:rsidRPr="009830FE">
        <w:rPr>
          <w:rFonts w:ascii="Arial" w:hAnsi="Arial" w:cs="Arial"/>
          <w:b/>
          <w:bCs/>
          <w:lang w:val="es-CO"/>
        </w:rPr>
        <w:t>Otros problemas</w:t>
      </w:r>
      <w:r>
        <w:rPr>
          <w:rFonts w:ascii="Arial" w:hAnsi="Arial" w:cs="Arial"/>
          <w:lang w:val="es-CO"/>
        </w:rPr>
        <w:t>: deficiencias auditivas, alteracione</w:t>
      </w:r>
      <w:r w:rsidR="00001DC2">
        <w:rPr>
          <w:rFonts w:ascii="Arial" w:hAnsi="Arial" w:cs="Arial"/>
          <w:lang w:val="es-CO"/>
        </w:rPr>
        <w:t>s</w:t>
      </w:r>
      <w:r>
        <w:rPr>
          <w:rFonts w:ascii="Arial" w:hAnsi="Arial" w:cs="Arial"/>
          <w:lang w:val="es-CO"/>
        </w:rPr>
        <w:t xml:space="preserve"> de la visión, problemas respiratorios, disminución de la función renal, trombocitopenia (disminución de las plaquetas de la sangre), dificultades significativas </w:t>
      </w:r>
      <w:r w:rsidR="00001DC2">
        <w:rPr>
          <w:rFonts w:ascii="Arial" w:hAnsi="Arial" w:cs="Arial"/>
          <w:lang w:val="es-CO"/>
        </w:rPr>
        <w:t>con la alimentación, problemas gastrointestinales y alteraciones psiquiátricas.</w:t>
      </w:r>
    </w:p>
    <w:p w14:paraId="0D26D350" w14:textId="264EC856" w:rsidR="00001DC2" w:rsidRPr="00CA2078" w:rsidRDefault="00001DC2" w:rsidP="00001DC2">
      <w:pPr>
        <w:rPr>
          <w:rFonts w:ascii="Arial" w:hAnsi="Arial" w:cs="Arial"/>
          <w:b/>
          <w:bCs/>
          <w:color w:val="70AD47" w:themeColor="accent6"/>
          <w:lang w:val="es-CO"/>
        </w:rPr>
      </w:pPr>
      <w:r w:rsidRPr="00CA2078">
        <w:rPr>
          <w:rFonts w:ascii="Arial" w:hAnsi="Arial" w:cs="Arial"/>
          <w:b/>
          <w:bCs/>
          <w:color w:val="70AD47" w:themeColor="accent6"/>
          <w:lang w:val="es-CO"/>
        </w:rPr>
        <w:t xml:space="preserve">¿Cómo se trata el síndrome de </w:t>
      </w:r>
      <w:proofErr w:type="spellStart"/>
      <w:r w:rsidRPr="00CA2078">
        <w:rPr>
          <w:rFonts w:ascii="Arial" w:hAnsi="Arial" w:cs="Arial"/>
          <w:b/>
          <w:bCs/>
          <w:color w:val="70AD47" w:themeColor="accent6"/>
          <w:lang w:val="es-CO"/>
        </w:rPr>
        <w:t>GiGeorge</w:t>
      </w:r>
      <w:proofErr w:type="spellEnd"/>
      <w:r w:rsidRPr="00CA2078">
        <w:rPr>
          <w:rFonts w:ascii="Arial" w:hAnsi="Arial" w:cs="Arial"/>
          <w:b/>
          <w:bCs/>
          <w:color w:val="70AD47" w:themeColor="accent6"/>
          <w:lang w:val="es-CO"/>
        </w:rPr>
        <w:t>?</w:t>
      </w:r>
    </w:p>
    <w:p w14:paraId="376843E4" w14:textId="1149CB8D" w:rsidR="00001DC2" w:rsidRDefault="00001DC2" w:rsidP="00001DC2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No hay tratamiento genético. En pacientes con inmunodeficiencia severa se puede necesitar un </w:t>
      </w:r>
      <w:r w:rsidR="009830FE">
        <w:rPr>
          <w:rFonts w:ascii="Arial" w:hAnsi="Arial" w:cs="Arial"/>
          <w:lang w:val="es-CO"/>
        </w:rPr>
        <w:t>trasplante</w:t>
      </w:r>
      <w:r>
        <w:rPr>
          <w:rFonts w:ascii="Arial" w:hAnsi="Arial" w:cs="Arial"/>
          <w:lang w:val="es-CO"/>
        </w:rPr>
        <w:t xml:space="preserve"> de médula ósea. Sin embargo</w:t>
      </w:r>
      <w:r w:rsidR="007828B5">
        <w:rPr>
          <w:rFonts w:ascii="Arial" w:hAnsi="Arial" w:cs="Arial"/>
          <w:lang w:val="es-CO"/>
        </w:rPr>
        <w:t>,</w:t>
      </w:r>
      <w:r>
        <w:rPr>
          <w:rFonts w:ascii="Arial" w:hAnsi="Arial" w:cs="Arial"/>
          <w:lang w:val="es-CO"/>
        </w:rPr>
        <w:t xml:space="preserve"> el manejo médico apropiado puede ayudar con los problemas asociados, y los servicios de intervención temprana </w:t>
      </w:r>
      <w:r w:rsidR="007828B5">
        <w:rPr>
          <w:rFonts w:ascii="Arial" w:hAnsi="Arial" w:cs="Arial"/>
          <w:lang w:val="es-CO"/>
        </w:rPr>
        <w:t>pueden ser beneficiosos si se inician en el período neonatal o en la infancia temprana. Esto requiere la intervención y la coordinación de diferentes especialistas para abordar los aspectos médicos y sicológicos.</w:t>
      </w:r>
    </w:p>
    <w:p w14:paraId="023BB96D" w14:textId="5FBB19C8" w:rsidR="007828B5" w:rsidRDefault="007828B5" w:rsidP="00001DC2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bajos niveles de calcio en la sangre pueden requer</w:t>
      </w:r>
      <w:r w:rsidR="009830FE">
        <w:rPr>
          <w:rFonts w:ascii="Arial" w:hAnsi="Arial" w:cs="Arial"/>
          <w:lang w:val="es-CO"/>
        </w:rPr>
        <w:t>ir</w:t>
      </w:r>
      <w:r>
        <w:rPr>
          <w:rFonts w:ascii="Arial" w:hAnsi="Arial" w:cs="Arial"/>
          <w:lang w:val="es-CO"/>
        </w:rPr>
        <w:t xml:space="preserve"> que un endocrinólogo formule suplementos de calcio junto con una forma especial de vitamina D. La deficiencia de hormona de crecimiento puede requerir tratamiento con hormona de crecimiento. </w:t>
      </w:r>
      <w:r w:rsidR="00E43CDB">
        <w:rPr>
          <w:rFonts w:ascii="Arial" w:hAnsi="Arial" w:cs="Arial"/>
          <w:lang w:val="es-CO"/>
        </w:rPr>
        <w:t>De igual manera, los problemas de tiroides requerirán evaluación por un endocrinólogo y pueden necesitar tratamiento con medicamentos.</w:t>
      </w:r>
    </w:p>
    <w:p w14:paraId="5D98D499" w14:textId="58971F4E" w:rsidR="00E43CDB" w:rsidRDefault="00E43CDB" w:rsidP="00001DC2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niños con esta condición pueden necesitar la ayuda de profesionales de muchas especialidades inc</w:t>
      </w:r>
      <w:r w:rsidR="009830FE">
        <w:rPr>
          <w:rFonts w:ascii="Arial" w:hAnsi="Arial" w:cs="Arial"/>
          <w:lang w:val="es-CO"/>
        </w:rPr>
        <w:t>lu</w:t>
      </w:r>
      <w:r>
        <w:rPr>
          <w:rFonts w:ascii="Arial" w:hAnsi="Arial" w:cs="Arial"/>
          <w:lang w:val="es-CO"/>
        </w:rPr>
        <w:t>yendo Genética, Endocrinología, Cardiología, Inmunología, Otorrinolaringología, Gastroenterología, Pediatría del Desarrollo y Sicología, Audiología y Ortopedia.</w:t>
      </w:r>
    </w:p>
    <w:p w14:paraId="45CC6D06" w14:textId="77777777" w:rsidR="00E43CDB" w:rsidRDefault="00E43CDB" w:rsidP="00001DC2">
      <w:pPr>
        <w:rPr>
          <w:rFonts w:ascii="Arial" w:hAnsi="Arial" w:cs="Arial"/>
          <w:lang w:val="es-CO"/>
        </w:rPr>
      </w:pPr>
    </w:p>
    <w:p w14:paraId="6A6014A0" w14:textId="77777777" w:rsidR="00E43CDB" w:rsidRDefault="00E43CDB" w:rsidP="00001DC2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>Sociedad de Endocrinología Pediátrica</w:t>
      </w:r>
    </w:p>
    <w:p w14:paraId="3F731623" w14:textId="011B307D" w:rsidR="00E43CDB" w:rsidRDefault="00E43CDB" w:rsidP="00001DC2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Sección de Endocrinología</w:t>
      </w:r>
      <w:r w:rsidR="00F766A6">
        <w:rPr>
          <w:rFonts w:ascii="Arial" w:hAnsi="Arial" w:cs="Arial"/>
          <w:lang w:val="es-CO"/>
        </w:rPr>
        <w:t>. Comité de Educación</w:t>
      </w:r>
      <w:r>
        <w:rPr>
          <w:rFonts w:ascii="Arial" w:hAnsi="Arial" w:cs="Arial"/>
          <w:lang w:val="es-CO"/>
        </w:rPr>
        <w:t xml:space="preserve"> </w:t>
      </w:r>
    </w:p>
    <w:p w14:paraId="0B1FE196" w14:textId="611DF77B" w:rsidR="00CC3AB5" w:rsidRDefault="00CC3AB5" w:rsidP="00001DC2">
      <w:pPr>
        <w:rPr>
          <w:rFonts w:ascii="Arial" w:hAnsi="Arial" w:cs="Arial"/>
          <w:lang w:val="es-CO"/>
        </w:rPr>
      </w:pPr>
    </w:p>
    <w:p w14:paraId="55AC13AB" w14:textId="5C5F4267" w:rsidR="00CC3AB5" w:rsidRDefault="00CC3AB5" w:rsidP="00001DC2">
      <w:pPr>
        <w:rPr>
          <w:rFonts w:ascii="Arial" w:hAnsi="Arial" w:cs="Arial"/>
          <w:lang w:val="es-CO"/>
        </w:rPr>
      </w:pPr>
      <w:r>
        <w:rPr>
          <w:noProof/>
        </w:rPr>
        <w:drawing>
          <wp:inline distT="0" distB="0" distL="0" distR="0" wp14:anchorId="4D835397" wp14:editId="16C52C2D">
            <wp:extent cx="2743200" cy="32893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3AF78D" w14:textId="77777777" w:rsidR="00001DC2" w:rsidRDefault="00001DC2" w:rsidP="00001DC2">
      <w:pPr>
        <w:rPr>
          <w:rFonts w:ascii="Arial" w:hAnsi="Arial" w:cs="Arial"/>
          <w:lang w:val="es-CO"/>
        </w:rPr>
      </w:pPr>
    </w:p>
    <w:p w14:paraId="550CB4E2" w14:textId="77777777" w:rsidR="00001DC2" w:rsidRPr="00001DC2" w:rsidRDefault="00001DC2" w:rsidP="00001DC2">
      <w:pPr>
        <w:rPr>
          <w:rFonts w:ascii="Arial" w:hAnsi="Arial" w:cs="Arial"/>
          <w:lang w:val="es-CO"/>
        </w:rPr>
      </w:pPr>
    </w:p>
    <w:p w14:paraId="3639CFBE" w14:textId="0AA1201B" w:rsidR="00B35506" w:rsidRPr="00926A86" w:rsidRDefault="00B35506" w:rsidP="00926A86">
      <w:pPr>
        <w:ind w:left="720"/>
        <w:rPr>
          <w:rFonts w:ascii="Arial" w:hAnsi="Arial" w:cs="Arial"/>
          <w:color w:val="8EAADB" w:themeColor="accent1" w:themeTint="99"/>
          <w:lang w:val="es-CO"/>
        </w:rPr>
      </w:pPr>
    </w:p>
    <w:sectPr w:rsidR="00B35506" w:rsidRPr="00926A86" w:rsidSect="00CC3AB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EEA"/>
    <w:multiLevelType w:val="hybridMultilevel"/>
    <w:tmpl w:val="B28C380C"/>
    <w:lvl w:ilvl="0" w:tplc="564C1B0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4"/>
    <w:rsid w:val="00001DC2"/>
    <w:rsid w:val="0011275B"/>
    <w:rsid w:val="00333CB7"/>
    <w:rsid w:val="0034757D"/>
    <w:rsid w:val="00351381"/>
    <w:rsid w:val="007828B5"/>
    <w:rsid w:val="00811C79"/>
    <w:rsid w:val="0082194C"/>
    <w:rsid w:val="008C50AB"/>
    <w:rsid w:val="009068B9"/>
    <w:rsid w:val="00926A86"/>
    <w:rsid w:val="009830FE"/>
    <w:rsid w:val="00B35506"/>
    <w:rsid w:val="00BE28F8"/>
    <w:rsid w:val="00C61D8F"/>
    <w:rsid w:val="00CA2078"/>
    <w:rsid w:val="00CC3AB5"/>
    <w:rsid w:val="00DA50E4"/>
    <w:rsid w:val="00DF47B7"/>
    <w:rsid w:val="00E17C42"/>
    <w:rsid w:val="00E43CDB"/>
    <w:rsid w:val="00F00C74"/>
    <w:rsid w:val="00F70C25"/>
    <w:rsid w:val="00F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AB83"/>
  <w15:chartTrackingRefBased/>
  <w15:docId w15:val="{90870598-0015-43B0-8461-93B37787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Escobar</dc:creator>
  <cp:keywords/>
  <dc:description/>
  <cp:lastModifiedBy>Mercer, Shelly B (HSC)</cp:lastModifiedBy>
  <cp:revision>2</cp:revision>
  <dcterms:created xsi:type="dcterms:W3CDTF">2022-01-10T14:19:00Z</dcterms:created>
  <dcterms:modified xsi:type="dcterms:W3CDTF">2022-01-10T14:19:00Z</dcterms:modified>
</cp:coreProperties>
</file>